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822957">
      <w:pPr>
        <w:pStyle w:val="a3"/>
        <w:numPr>
          <w:ilvl w:val="0"/>
          <w:numId w:val="35"/>
        </w:numPr>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822957">
      <w:pPr>
        <w:pStyle w:val="a3"/>
        <w:numPr>
          <w:ilvl w:val="0"/>
          <w:numId w:val="35"/>
        </w:numPr>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822957">
      <w:pPr>
        <w:pStyle w:val="a3"/>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822957">
      <w:pPr>
        <w:pStyle w:val="a3"/>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6661AF86" w:rsidR="00782E20" w:rsidRDefault="00F402DF" w:rsidP="00822957">
      <w:pPr>
        <w:pStyle w:val="a3"/>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6D64650F" w14:textId="77777777" w:rsidR="00B306A7" w:rsidRPr="00D13AF8" w:rsidRDefault="00B306A7" w:rsidP="00822957">
      <w:pPr>
        <w:tabs>
          <w:tab w:val="left" w:pos="993"/>
        </w:tabs>
        <w:ind w:firstLine="567"/>
        <w:contextualSpacing/>
        <w:jc w:val="both"/>
        <w:rPr>
          <w:rFonts w:ascii="Times New Roman" w:eastAsia="Times New Roman" w:hAnsi="Times New Roman" w:cs="Times New Roman"/>
          <w:bCs/>
          <w:sz w:val="28"/>
          <w:szCs w:val="28"/>
          <w:lang w:eastAsia="ru-RU"/>
        </w:rPr>
      </w:pPr>
      <w:r w:rsidRPr="00D13AF8">
        <w:rPr>
          <w:rFonts w:ascii="Times New Roman" w:eastAsia="Times New Roman" w:hAnsi="Times New Roman" w:cs="Times New Roman"/>
          <w:bCs/>
          <w:sz w:val="28"/>
          <w:szCs w:val="28"/>
          <w:lang w:eastAsia="ru-RU"/>
        </w:rPr>
        <w:t>2</w:t>
      </w:r>
      <w:r w:rsidRPr="00D13AF8">
        <w:rPr>
          <w:rFonts w:ascii="Times New Roman" w:eastAsia="Times New Roman" w:hAnsi="Times New Roman" w:cs="Times New Roman"/>
          <w:bCs/>
          <w:sz w:val="28"/>
          <w:szCs w:val="28"/>
          <w:vertAlign w:val="superscript"/>
          <w:lang w:eastAsia="ru-RU"/>
        </w:rPr>
        <w:t>1</w:t>
      </w:r>
      <w:r w:rsidRPr="00D13AF8">
        <w:rPr>
          <w:rFonts w:ascii="Times New Roman" w:eastAsia="Times New Roman" w:hAnsi="Times New Roman" w:cs="Times New Roman"/>
          <w:bCs/>
          <w:sz w:val="28"/>
          <w:szCs w:val="28"/>
          <w:lang w:eastAsia="ru-RU"/>
        </w:rPr>
        <w:t>. Під час визначення довгих ризик-позицій, які згідно з цими Правилами зменшуються на суму оціночного резерву під очікувані кредитні збитки, банк враховує оціночний резерв за фінансовим інструментом в розмірі, що не перевищує його балансової вартості [основної суми боргу, нарахованих процентів, неамортизованої премії (дисконту), суми переоцінки].</w:t>
      </w:r>
    </w:p>
    <w:p w14:paraId="4BB657D2" w14:textId="77777777" w:rsidR="00797E18" w:rsidRPr="003B2FA3" w:rsidRDefault="00797E18" w:rsidP="00822957">
      <w:pPr>
        <w:pStyle w:val="a3"/>
        <w:numPr>
          <w:ilvl w:val="0"/>
          <w:numId w:val="35"/>
        </w:numPr>
        <w:tabs>
          <w:tab w:val="left" w:pos="993"/>
        </w:tabs>
        <w:spacing w:before="120" w:after="120" w:line="240" w:lineRule="auto"/>
        <w:ind w:left="0"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822957">
      <w:pPr>
        <w:tabs>
          <w:tab w:val="left" w:pos="993"/>
        </w:tabs>
        <w:spacing w:before="120" w:after="120" w:line="240" w:lineRule="auto"/>
        <w:ind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822957">
      <w:pPr>
        <w:tabs>
          <w:tab w:val="left" w:pos="993"/>
        </w:tabs>
        <w:spacing w:before="120" w:after="120" w:line="240" w:lineRule="auto"/>
        <w:ind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822957">
      <w:pPr>
        <w:tabs>
          <w:tab w:val="left" w:pos="993"/>
        </w:tabs>
        <w:spacing w:before="120" w:after="120" w:line="240" w:lineRule="auto"/>
        <w:ind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822957">
      <w:pPr>
        <w:tabs>
          <w:tab w:val="left" w:pos="993"/>
        </w:tabs>
        <w:spacing w:before="120" w:after="120" w:line="240" w:lineRule="auto"/>
        <w:ind w:firstLine="567"/>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7BB79326"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Особливості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оказників</w:t>
      </w:r>
    </w:p>
    <w:p w14:paraId="1E6D306E" w14:textId="77777777" w:rsidR="00854DC2" w:rsidRDefault="00854DC2" w:rsidP="005B6894">
      <w:pPr>
        <w:spacing w:after="0" w:line="240" w:lineRule="auto"/>
        <w:jc w:val="center"/>
        <w:rPr>
          <w:rFonts w:ascii="Times New Roman" w:eastAsia="Times New Roman" w:hAnsi="Times New Roman" w:cs="Times New Roman"/>
          <w:b/>
          <w:sz w:val="28"/>
          <w:szCs w:val="28"/>
          <w:u w:val="single"/>
          <w:lang w:eastAsia="uk-UA"/>
        </w:rPr>
      </w:pPr>
    </w:p>
    <w:p w14:paraId="77D455B5" w14:textId="447D853C"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854DC2">
      <w:pPr>
        <w:spacing w:before="120" w:after="12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556753E" w14:textId="6AB98704" w:rsidR="0048600A" w:rsidRPr="003B2FA3" w:rsidRDefault="0048600A" w:rsidP="00854DC2">
      <w:pPr>
        <w:spacing w:before="120" w:after="12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lastRenderedPageBreak/>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B66FF0" w14:textId="20CE95DC" w:rsidR="00F528E0" w:rsidRPr="003B2FA3" w:rsidRDefault="00F528E0" w:rsidP="00854DC2">
      <w:pPr>
        <w:spacing w:before="120" w:after="12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3125161D" w14:textId="68CCA745" w:rsidR="00F528E0" w:rsidRPr="003B2FA3" w:rsidRDefault="00F528E0" w:rsidP="00854DC2">
      <w:pPr>
        <w:spacing w:before="120" w:after="12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73D1193E" w:rsidR="00B44B9E" w:rsidRPr="003B2FA3" w:rsidRDefault="00B44B9E"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 xml:space="preserve">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w:t>
      </w:r>
      <w:r w:rsidR="0061639B" w:rsidRPr="0015245D">
        <w:rPr>
          <w:rFonts w:ascii="Times New Roman" w:eastAsia="Times New Roman" w:hAnsi="Times New Roman" w:cs="Times New Roman"/>
          <w:b/>
          <w:sz w:val="28"/>
          <w:szCs w:val="28"/>
          <w:u w:val="single"/>
          <w:lang w:eastAsia="uk-UA"/>
        </w:rPr>
        <w:t xml:space="preserve">%,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1061D7">
      <w:pPr>
        <w:pStyle w:val="a3"/>
        <w:spacing w:after="0" w:line="240" w:lineRule="auto"/>
        <w:ind w:left="0" w:firstLine="567"/>
        <w:jc w:val="both"/>
        <w:rPr>
          <w:rFonts w:ascii="Times New Roman" w:eastAsia="Times New Roman" w:hAnsi="Times New Roman" w:cs="Times New Roman"/>
          <w:bCs/>
          <w:sz w:val="28"/>
          <w:szCs w:val="28"/>
          <w:lang w:eastAsia="uk-UA"/>
        </w:rPr>
      </w:pPr>
    </w:p>
    <w:p w14:paraId="3C7744B8"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3044А, 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5F17F91E"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1234AC1"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3044А, 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5B6930E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012D38C5"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460D5BE"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458BB40"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6EB0158F" w14:textId="77777777" w:rsidR="00254D01" w:rsidRDefault="00254D01" w:rsidP="00832BE7">
      <w:pPr>
        <w:spacing w:after="0" w:line="240" w:lineRule="auto"/>
        <w:ind w:firstLine="709"/>
        <w:jc w:val="center"/>
        <w:rPr>
          <w:rFonts w:ascii="Times New Roman" w:eastAsia="Times New Roman" w:hAnsi="Times New Roman" w:cs="Times New Roman"/>
          <w:b/>
          <w:sz w:val="28"/>
          <w:szCs w:val="28"/>
          <w:u w:val="single"/>
          <w:lang w:eastAsia="uk-UA"/>
        </w:rPr>
      </w:pPr>
    </w:p>
    <w:p w14:paraId="04505DAF" w14:textId="3E106BD9"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lastRenderedPageBreak/>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0E70F4DF" w:rsidR="0048600A" w:rsidRPr="003B2FA3" w:rsidRDefault="0048600A"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1061D7">
      <w:pPr>
        <w:spacing w:after="0" w:line="240" w:lineRule="auto"/>
        <w:ind w:firstLine="709"/>
        <w:contextualSpacing/>
        <w:jc w:val="center"/>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4693711C"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7D45FAEA"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w:t>
      </w:r>
      <w:r w:rsidR="0015245D" w:rsidRPr="0015245D">
        <w:rPr>
          <w:rFonts w:ascii="Times New Roman" w:hAnsi="Times New Roman" w:cs="Times New Roman"/>
          <w:b/>
          <w:sz w:val="28"/>
          <w:szCs w:val="28"/>
          <w:u w:val="single"/>
        </w:rPr>
        <w:t xml:space="preserve"> які відповідають умовам включення</w:t>
      </w:r>
      <w:r w:rsidR="0015245D">
        <w:rPr>
          <w:rFonts w:ascii="Times New Roman" w:hAnsi="Times New Roman" w:cs="Times New Roman"/>
          <w:b/>
          <w:sz w:val="28"/>
          <w:szCs w:val="28"/>
          <w:u w:val="single"/>
        </w:rPr>
        <w:t xml:space="preserve"> </w:t>
      </w:r>
      <w:r w:rsidRPr="003B2FA3">
        <w:rPr>
          <w:rFonts w:ascii="Times New Roman" w:eastAsia="Times New Roman" w:hAnsi="Times New Roman" w:cs="Times New Roman"/>
          <w:b/>
          <w:sz w:val="28"/>
          <w:szCs w:val="28"/>
          <w:u w:val="single"/>
          <w:lang w:eastAsia="uk-UA"/>
        </w:rPr>
        <w:t xml:space="preserve">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7AB9B0F3"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w:t>
      </w:r>
      <w:r w:rsidR="00AE65B2" w:rsidRPr="003B2FA3">
        <w:rPr>
          <w:rFonts w:ascii="Times New Roman" w:eastAsia="Times New Roman" w:hAnsi="Times New Roman" w:cs="Times New Roman"/>
          <w:b/>
          <w:sz w:val="28"/>
          <w:szCs w:val="28"/>
          <w:u w:val="single"/>
          <w:lang w:eastAsia="uk-UA"/>
        </w:rPr>
        <w:lastRenderedPageBreak/>
        <w:t>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C07622B" w14:textId="77777777" w:rsidR="0097375F" w:rsidRDefault="0097375F"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24F68E8C" w14:textId="6D07959E"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4F8020A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A7S011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2D617DD5"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A7S012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w:t>
      </w:r>
      <w:r w:rsidRPr="003B2FA3">
        <w:rPr>
          <w:rFonts w:ascii="Times New Roman" w:eastAsia="Times New Roman" w:hAnsi="Times New Roman" w:cs="Times New Roman"/>
          <w:bCs/>
          <w:sz w:val="28"/>
          <w:szCs w:val="28"/>
          <w:lang w:eastAsia="uk-UA"/>
        </w:rPr>
        <w:lastRenderedPageBreak/>
        <w:t>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1EC950EF"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2411792D"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61279916"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7013DFB1" w:rsidR="00AE65B2" w:rsidRPr="003B2FA3" w:rsidRDefault="00AE65B2"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50BC99E0"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61DE822E"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DC6D9C" w:rsidRPr="003B2FA3">
        <w:rPr>
          <w:rFonts w:ascii="Times New Roman" w:eastAsia="Times New Roman" w:hAnsi="Times New Roman" w:cs="Times New Roman"/>
          <w:b/>
          <w:sz w:val="28"/>
          <w:szCs w:val="28"/>
          <w:u w:val="single"/>
          <w:lang w:eastAsia="uk-UA"/>
        </w:rPr>
        <w:t>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довгі (неузгоджені, виходячи з вимог Додатку 3 до Положення № 162) ризик-позиції, визначені за інструментами, включеними до показників </w:t>
      </w:r>
      <w:r w:rsidRPr="003B2FA3">
        <w:rPr>
          <w:rFonts w:ascii="Times New Roman" w:eastAsia="Times New Roman" w:hAnsi="Times New Roman" w:cs="Times New Roman"/>
          <w:bCs/>
          <w:sz w:val="28"/>
          <w:szCs w:val="28"/>
          <w:lang w:eastAsia="uk-UA"/>
        </w:rPr>
        <w:lastRenderedPageBreak/>
        <w:t>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473ADE0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К</w:t>
      </w:r>
      <w:r w:rsidR="00DC6D9C" w:rsidRPr="003B2FA3">
        <w:rPr>
          <w:rFonts w:ascii="Times New Roman" w:eastAsia="Times New Roman" w:hAnsi="Times New Roman" w:cs="Times New Roman"/>
          <w:b/>
          <w:sz w:val="28"/>
          <w:szCs w:val="28"/>
          <w:u w:val="single"/>
          <w:lang w:eastAsia="uk-UA"/>
        </w:rPr>
        <w:t>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47B27D6"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4B0A6F62"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BAF802D"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6BE8870" w14:textId="6DB21C91" w:rsidR="0015245D" w:rsidRPr="0015245D" w:rsidRDefault="0015245D" w:rsidP="0015245D">
      <w:pPr>
        <w:spacing w:after="0"/>
        <w:jc w:val="center"/>
        <w:rPr>
          <w:rFonts w:ascii="Times New Roman" w:hAnsi="Times New Roman" w:cs="Times New Roman"/>
          <w:b/>
          <w:sz w:val="28"/>
          <w:szCs w:val="28"/>
          <w:u w:val="single"/>
        </w:rPr>
      </w:pPr>
      <w:r w:rsidRPr="0015245D">
        <w:rPr>
          <w:rFonts w:ascii="Times New Roman" w:hAnsi="Times New Roman" w:cs="Times New Roman"/>
          <w:b/>
          <w:sz w:val="28"/>
          <w:szCs w:val="28"/>
          <w:u w:val="single"/>
        </w:rPr>
        <w:t xml:space="preserve">Правило формування </w:t>
      </w:r>
      <w:r>
        <w:rPr>
          <w:rFonts w:ascii="Times New Roman" w:hAnsi="Times New Roman" w:cs="Times New Roman"/>
          <w:b/>
          <w:sz w:val="28"/>
          <w:szCs w:val="28"/>
          <w:u w:val="single"/>
        </w:rPr>
        <w:t>п</w:t>
      </w:r>
      <w:r w:rsidRPr="0015245D">
        <w:rPr>
          <w:rFonts w:ascii="Times New Roman" w:hAnsi="Times New Roman" w:cs="Times New Roman"/>
          <w:b/>
          <w:sz w:val="28"/>
          <w:szCs w:val="28"/>
          <w:u w:val="single"/>
        </w:rPr>
        <w:t>оказника A7S021 “Розмір процентного ризику торгової книги”</w:t>
      </w:r>
    </w:p>
    <w:p w14:paraId="7F707E57" w14:textId="77777777" w:rsidR="0015245D" w:rsidRDefault="0015245D" w:rsidP="0015245D">
      <w:pPr>
        <w:spacing w:after="0"/>
        <w:ind w:firstLine="708"/>
        <w:rPr>
          <w:rFonts w:ascii="Times New Roman" w:hAnsi="Times New Roman" w:cs="Times New Roman"/>
          <w:sz w:val="28"/>
          <w:szCs w:val="28"/>
        </w:rPr>
      </w:pPr>
    </w:p>
    <w:p w14:paraId="770344F5" w14:textId="3204DBC9" w:rsidR="0015245D" w:rsidRPr="0015245D" w:rsidRDefault="0015245D" w:rsidP="0015245D">
      <w:pPr>
        <w:spacing w:after="0"/>
        <w:ind w:firstLine="708"/>
        <w:rPr>
          <w:rFonts w:ascii="Times New Roman" w:hAnsi="Times New Roman" w:cs="Times New Roman"/>
          <w:sz w:val="28"/>
          <w:szCs w:val="28"/>
        </w:rPr>
      </w:pPr>
      <w:r w:rsidRPr="0015245D">
        <w:rPr>
          <w:rFonts w:ascii="Times New Roman" w:hAnsi="Times New Roman" w:cs="Times New Roman"/>
          <w:sz w:val="28"/>
          <w:szCs w:val="28"/>
        </w:rPr>
        <w:t>Зазначається розмір процентного ризику торгової книги, що розрахований згідно з розділом ІІ Положення № 162.</w:t>
      </w:r>
    </w:p>
    <w:p w14:paraId="1578B8D5" w14:textId="77777777" w:rsidR="0015245D" w:rsidRDefault="0015245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13A3241A"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lastRenderedPageBreak/>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1EEDFE1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9369П,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0D2813A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79B5960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0002E9E8"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A7S105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w:t>
      </w:r>
      <w:r w:rsidRPr="003B2FA3">
        <w:rPr>
          <w:rFonts w:ascii="Times New Roman" w:eastAsia="Times New Roman" w:hAnsi="Times New Roman" w:cs="Times New Roman"/>
          <w:bCs/>
          <w:sz w:val="28"/>
          <w:szCs w:val="28"/>
          <w:lang w:eastAsia="uk-UA"/>
        </w:rPr>
        <w:lastRenderedPageBreak/>
        <w:t>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348F67AD"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A7S106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1BED6A0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A7S107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07CC941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A7S108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4E37E1A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1D63E71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1532А, 1535АП, 1536АП, 1538А, 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5F89F72C"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583B4BD3"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Д</w:t>
      </w:r>
      <w:r w:rsidR="00156815" w:rsidRPr="003B2FA3">
        <w:rPr>
          <w:rFonts w:ascii="Times New Roman" w:eastAsia="Times New Roman" w:hAnsi="Times New Roman" w:cs="Times New Roman"/>
          <w:b/>
          <w:sz w:val="28"/>
          <w:szCs w:val="28"/>
          <w:u w:val="single"/>
          <w:lang w:eastAsia="uk-UA"/>
        </w:rPr>
        <w:t>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E4BB7B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К</w:t>
      </w:r>
      <w:r w:rsidR="007D47B5" w:rsidRPr="003B2FA3">
        <w:rPr>
          <w:rFonts w:ascii="Times New Roman" w:eastAsia="Times New Roman" w:hAnsi="Times New Roman" w:cs="Times New Roman"/>
          <w:b/>
          <w:sz w:val="28"/>
          <w:szCs w:val="28"/>
          <w:u w:val="single"/>
          <w:lang w:eastAsia="uk-UA"/>
        </w:rPr>
        <w:t>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13900F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13791B9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7CCE04F3"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B8C7D9" w14:textId="77777777" w:rsidR="001061D7" w:rsidRDefault="001061D7" w:rsidP="00F00C61">
      <w:pPr>
        <w:jc w:val="center"/>
        <w:rPr>
          <w:rFonts w:ascii="Times New Roman" w:hAnsi="Times New Roman" w:cs="Times New Roman"/>
          <w:b/>
          <w:sz w:val="28"/>
          <w:szCs w:val="28"/>
          <w:u w:val="single"/>
          <w:lang w:eastAsia="uk-UA"/>
        </w:rPr>
      </w:pPr>
    </w:p>
    <w:p w14:paraId="4BC58621" w14:textId="48F77E65"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A7S117 “Розмір фондового ризику”</w:t>
      </w:r>
    </w:p>
    <w:p w14:paraId="73B7904E"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фондового ризику, що розрахований згідно з розділом III Положення № 162.</w:t>
      </w:r>
    </w:p>
    <w:p w14:paraId="7A894886" w14:textId="69D42F3D" w:rsidR="00B46429"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645BA83D"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089CB3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w:t>
      </w:r>
      <w:r w:rsidRPr="00125B42">
        <w:rPr>
          <w:rFonts w:ascii="Times New Roman" w:eastAsia="Times New Roman" w:hAnsi="Times New Roman" w:cs="Times New Roman"/>
          <w:bCs/>
          <w:sz w:val="28"/>
          <w:szCs w:val="28"/>
          <w:lang w:eastAsia="uk-UA"/>
        </w:rPr>
        <w:lastRenderedPageBreak/>
        <w:t>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274F6F8E"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9D9A9AA" w14:textId="77777777" w:rsidR="00F00C61" w:rsidRDefault="00F00C61" w:rsidP="00F00C61">
      <w:pPr>
        <w:spacing w:after="0" w:line="240" w:lineRule="auto"/>
        <w:ind w:firstLine="708"/>
        <w:jc w:val="both"/>
        <w:rPr>
          <w:rFonts w:ascii="Times New Roman" w:hAnsi="Times New Roman" w:cs="Times New Roman"/>
          <w:b/>
          <w:sz w:val="28"/>
          <w:szCs w:val="28"/>
          <w:lang w:eastAsia="uk-UA"/>
        </w:rPr>
      </w:pPr>
      <w:r w:rsidRPr="00BF504A">
        <w:rPr>
          <w:rFonts w:ascii="Times New Roman" w:hAnsi="Times New Roman" w:cs="Times New Roman"/>
          <w:sz w:val="28"/>
          <w:szCs w:val="28"/>
          <w:lang w:eastAsia="uk-UA"/>
        </w:rPr>
        <w:t>Зазначаються відповідні ризик-позиції, що обліковуються за позабалансовими рахунками</w:t>
      </w:r>
      <w:r w:rsidRPr="00BF504A">
        <w:rPr>
          <w:rFonts w:ascii="Times New Roman" w:hAnsi="Times New Roman" w:cs="Times New Roman"/>
          <w:b/>
          <w:sz w:val="28"/>
          <w:szCs w:val="28"/>
          <w:lang w:eastAsia="uk-UA"/>
        </w:rPr>
        <w:t>:</w:t>
      </w:r>
    </w:p>
    <w:p w14:paraId="317E46D4" w14:textId="77777777" w:rsidR="00692E38" w:rsidRPr="00692E38" w:rsidRDefault="00692E38" w:rsidP="00692E38">
      <w:pPr>
        <w:ind w:firstLine="709"/>
        <w:contextualSpacing/>
        <w:jc w:val="both"/>
        <w:rPr>
          <w:rFonts w:ascii="Times New Roman" w:hAnsi="Times New Roman" w:cs="Times New Roman"/>
          <w:bCs/>
          <w:sz w:val="28"/>
          <w:szCs w:val="28"/>
          <w:lang w:eastAsia="uk-UA"/>
        </w:rPr>
      </w:pPr>
      <w:r w:rsidRPr="00692E38">
        <w:rPr>
          <w:rFonts w:ascii="Times New Roman" w:hAnsi="Times New Roman" w:cs="Times New Roman"/>
          <w:bCs/>
          <w:sz w:val="28"/>
          <w:szCs w:val="28"/>
          <w:lang w:eastAsia="uk-UA"/>
        </w:rPr>
        <w:t xml:space="preserve">9000А, 9001А, 9002А, 9003А, 9100А, 9122А, 9129А, з урахуванням довідника R018 “Розподіл ризик-позицій за ознакою безвідкличності” (зі значенням, що дорівнює “1”) та довідника </w:t>
      </w:r>
      <w:r w:rsidRPr="00692E38">
        <w:rPr>
          <w:rFonts w:ascii="Times New Roman" w:hAnsi="Times New Roman" w:cs="Times New Roman"/>
          <w:bCs/>
          <w:sz w:val="28"/>
          <w:szCs w:val="28"/>
          <w:lang w:val="en-US" w:eastAsia="uk-UA"/>
        </w:rPr>
        <w:t>F</w:t>
      </w:r>
      <w:r w:rsidRPr="00692E38">
        <w:rPr>
          <w:rFonts w:ascii="Times New Roman" w:hAnsi="Times New Roman" w:cs="Times New Roman"/>
          <w:bCs/>
          <w:sz w:val="28"/>
          <w:szCs w:val="28"/>
          <w:lang w:eastAsia="uk-UA"/>
        </w:rPr>
        <w:t>076 “Код ознак, які відповідно до Положення № 351 свідчать про подію дефолту контрагента/пов’язаної з банком особи” (зі значенням, що дорівнює “164216501”);</w:t>
      </w:r>
    </w:p>
    <w:p w14:paraId="2832CF20"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BF504A">
        <w:rPr>
          <w:rFonts w:ascii="Times New Roman" w:hAnsi="Times New Roman" w:cs="Times New Roman"/>
          <w:sz w:val="28"/>
          <w:szCs w:val="28"/>
          <w:lang w:eastAsia="uk-UA"/>
        </w:rPr>
        <w:t>9200А, 9300А, 9350А,</w:t>
      </w:r>
    </w:p>
    <w:p w14:paraId="4040C163" w14:textId="77777777" w:rsidR="00F00C61" w:rsidRPr="00BF504A" w:rsidRDefault="00F00C61" w:rsidP="00F00C61">
      <w:pPr>
        <w:spacing w:after="0" w:line="240" w:lineRule="auto"/>
        <w:ind w:firstLine="708"/>
        <w:jc w:val="both"/>
        <w:rPr>
          <w:rFonts w:ascii="Times New Roman" w:eastAsia="Times New Roman" w:hAnsi="Times New Roman" w:cs="Times New Roman"/>
          <w:bCs/>
          <w:sz w:val="28"/>
          <w:szCs w:val="28"/>
          <w:lang w:eastAsia="uk-UA"/>
        </w:rPr>
      </w:pPr>
      <w:r w:rsidRPr="00BF504A">
        <w:rPr>
          <w:rFonts w:ascii="Times New Roman" w:hAnsi="Times New Roman" w:cs="Times New Roman"/>
          <w:sz w:val="28"/>
          <w:szCs w:val="28"/>
          <w:lang w:val="ru-RU" w:eastAsia="uk-UA"/>
        </w:rPr>
        <w:t xml:space="preserve"> </w:t>
      </w:r>
      <w:r w:rsidRPr="00BF504A">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5A868D9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35353FFD"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Зазначаються відповідні ризик-позиції, що обліковуються за балансовими/позабалансовими рахунками:</w:t>
      </w:r>
    </w:p>
    <w:p w14:paraId="535A8CDA" w14:textId="77777777" w:rsidR="00692E38" w:rsidRPr="00692E38" w:rsidRDefault="00692E38" w:rsidP="00692E38">
      <w:pPr>
        <w:ind w:firstLine="709"/>
        <w:contextualSpacing/>
        <w:jc w:val="both"/>
        <w:rPr>
          <w:rFonts w:ascii="Times New Roman" w:hAnsi="Times New Roman" w:cs="Times New Roman"/>
          <w:bCs/>
          <w:sz w:val="28"/>
          <w:szCs w:val="28"/>
          <w:lang w:eastAsia="uk-UA"/>
        </w:rPr>
      </w:pPr>
      <w:r w:rsidRPr="00692E38">
        <w:rPr>
          <w:rFonts w:ascii="Times New Roman" w:hAnsi="Times New Roman" w:cs="Times New Roman"/>
          <w:bCs/>
          <w:sz w:val="28"/>
          <w:szCs w:val="28"/>
          <w:lang w:eastAsia="uk-UA"/>
        </w:rPr>
        <w:t xml:space="preserve">3690П, 3692П, в частині резервів за інструментами, включеними до показника A7S203 та з урахуванням довідника R018 “Розподіл ризик-позицій за ознакою безвідкличності” (зі значенням, що дорівнює “1”) та довідника </w:t>
      </w:r>
      <w:r w:rsidRPr="00692E38">
        <w:rPr>
          <w:rFonts w:ascii="Times New Roman" w:hAnsi="Times New Roman" w:cs="Times New Roman"/>
          <w:bCs/>
          <w:sz w:val="28"/>
          <w:szCs w:val="28"/>
          <w:lang w:val="en-US" w:eastAsia="uk-UA"/>
        </w:rPr>
        <w:t>F</w:t>
      </w:r>
      <w:r w:rsidRPr="00692E38">
        <w:rPr>
          <w:rFonts w:ascii="Times New Roman" w:hAnsi="Times New Roman" w:cs="Times New Roman"/>
          <w:bCs/>
          <w:sz w:val="28"/>
          <w:szCs w:val="28"/>
          <w:lang w:eastAsia="uk-UA"/>
        </w:rPr>
        <w:t>076 “Код ознак, які відповідно до Положення № 351 свідчать про подію дефолту контрагента/пов’язаної з банком особи” (зі значенням, що дорівнює “164216501”);</w:t>
      </w:r>
    </w:p>
    <w:p w14:paraId="1DB29BDB"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9210П, 9310П, 9360П,</w:t>
      </w:r>
    </w:p>
    <w:p w14:paraId="6811D588" w14:textId="0F39AC5C"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val="ru-RU" w:eastAsia="uk-UA"/>
        </w:rPr>
        <w:t xml:space="preserve"> </w:t>
      </w:r>
      <w:r w:rsidRPr="006E721F">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295F2C1"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p>
    <w:p w14:paraId="7C0CC5FB" w14:textId="62F1061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 xml:space="preserve">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w:t>
      </w:r>
      <w:r w:rsidR="00897782" w:rsidRPr="003B2FA3">
        <w:rPr>
          <w:rFonts w:ascii="Times New Roman" w:eastAsia="Times New Roman" w:hAnsi="Times New Roman" w:cs="Times New Roman"/>
          <w:sz w:val="28"/>
          <w:szCs w:val="28"/>
          <w:lang w:eastAsia="uk-UA"/>
        </w:rPr>
        <w:lastRenderedPageBreak/>
        <w:t>(крім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665DD557"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7C0CAB99"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57E2379B" w14:textId="77777777" w:rsidR="0086396C" w:rsidRPr="0086396C" w:rsidRDefault="0086396C" w:rsidP="00567561">
      <w:pPr>
        <w:ind w:firstLine="708"/>
        <w:contextualSpacing/>
        <w:jc w:val="both"/>
        <w:rPr>
          <w:rFonts w:ascii="Times New Roman" w:eastAsia="Times New Roman" w:hAnsi="Times New Roman" w:cs="Times New Roman"/>
          <w:b/>
          <w:bCs/>
          <w:sz w:val="28"/>
          <w:szCs w:val="28"/>
          <w:lang w:eastAsia="ru-RU"/>
        </w:rPr>
      </w:pPr>
      <w:r w:rsidRPr="0086396C">
        <w:rPr>
          <w:rFonts w:ascii="Times New Roman" w:eastAsia="Times New Roman" w:hAnsi="Times New Roman" w:cs="Times New Roman"/>
          <w:bCs/>
          <w:sz w:val="28"/>
          <w:szCs w:val="28"/>
          <w:lang w:eastAsia="ru-RU"/>
        </w:rPr>
        <w:t>3690П, 3692П, крім пасивних залишків</w:t>
      </w:r>
      <w:r w:rsidRPr="0086396C">
        <w:rPr>
          <w:sz w:val="28"/>
          <w:szCs w:val="28"/>
        </w:rPr>
        <w:t xml:space="preserve"> </w:t>
      </w:r>
      <w:r w:rsidRPr="0086396C">
        <w:rPr>
          <w:rFonts w:ascii="Times New Roman" w:eastAsia="Times New Roman" w:hAnsi="Times New Roman" w:cs="Times New Roman"/>
          <w:bCs/>
          <w:sz w:val="28"/>
          <w:szCs w:val="28"/>
          <w:lang w:eastAsia="ru-RU"/>
        </w:rPr>
        <w:t>за цими рахунками, які включені до показника A7S204</w:t>
      </w:r>
      <w:r w:rsidRPr="0086396C">
        <w:rPr>
          <w:rFonts w:ascii="Times New Roman" w:eastAsia="Times New Roman" w:hAnsi="Times New Roman" w:cs="Times New Roman"/>
          <w:b/>
          <w:bCs/>
          <w:sz w:val="28"/>
          <w:szCs w:val="28"/>
          <w:lang w:eastAsia="ru-RU"/>
        </w:rPr>
        <w:t>;</w:t>
      </w:r>
    </w:p>
    <w:p w14:paraId="1C7C0E8D" w14:textId="77777777" w:rsidR="0086396C" w:rsidRPr="0086396C" w:rsidRDefault="0086396C" w:rsidP="00567561">
      <w:pPr>
        <w:ind w:firstLine="708"/>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1500П, 1507П, 2920П, 2924П, 3699П</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 xml:space="preserve"> 3705П, 3706П, 3739П, 3900П, 3901П, 3903П, 3905П, 3907П, 3929П,</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5CA8D52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715A0B2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68711050"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2562DC6D" w14:textId="77777777" w:rsidR="00F00C61" w:rsidRPr="006E721F" w:rsidRDefault="00F00C61" w:rsidP="00F00C61">
      <w:pPr>
        <w:spacing w:after="0" w:line="240" w:lineRule="auto"/>
        <w:ind w:firstLine="709"/>
        <w:contextualSpacing/>
        <w:jc w:val="both"/>
        <w:rPr>
          <w:rFonts w:ascii="Times New Roman" w:eastAsia="Times New Roman" w:hAnsi="Times New Roman" w:cs="Times New Roman"/>
          <w:bCs/>
          <w:sz w:val="28"/>
          <w:szCs w:val="28"/>
          <w:lang w:eastAsia="uk-UA"/>
        </w:rPr>
      </w:pPr>
      <w:r w:rsidRPr="006E721F">
        <w:rPr>
          <w:rFonts w:ascii="Times New Roman" w:hAnsi="Times New Roman" w:cs="Times New Roman"/>
          <w:sz w:val="28"/>
          <w:szCs w:val="28"/>
          <w:lang w:eastAsia="uk-UA"/>
        </w:rPr>
        <w:lastRenderedPageBreak/>
        <w:t>Зазначається розмір валютного ризику, що розрахований згідно з розділом IV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1012751D"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03FF059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63923095" w:rsidR="00766B8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A5EB5B8" w14:textId="1E6E3BC6" w:rsidR="0086396C" w:rsidRPr="0086396C" w:rsidRDefault="0086396C"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86396C">
        <w:rPr>
          <w:rFonts w:ascii="Times New Roman" w:eastAsia="Times New Roman" w:hAnsi="Times New Roman" w:cs="Times New Roman"/>
          <w:bCs/>
          <w:sz w:val="28"/>
          <w:szCs w:val="28"/>
          <w:lang w:eastAsia="ru-RU"/>
        </w:rPr>
        <w:t>Розмір гама-ризику передається по модулю (додатнім числом).</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4E40EA9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1A90944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lastRenderedPageBreak/>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0151FC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7C23540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w:t>
      </w:r>
      <w:r w:rsidRPr="00183CBA">
        <w:rPr>
          <w:rFonts w:ascii="Times New Roman" w:eastAsia="Times New Roman" w:hAnsi="Times New Roman" w:cs="Times New Roman"/>
          <w:bCs/>
          <w:sz w:val="28"/>
          <w:szCs w:val="28"/>
          <w:lang w:eastAsia="uk-UA"/>
        </w:rPr>
        <w:lastRenderedPageBreak/>
        <w:t>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4FEC306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15E4385C"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4E9810C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1D0BB00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D4F8BF3"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5B5947A4"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2504C8E7"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405CEFB"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6E1EEBE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90B547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25F603E6"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2739DB59"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3AD09AD4"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2B865EF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442A4358"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04A88D61"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488D545D"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656C1EEB"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780E76C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395C46D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159D835D"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687B40F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13E05B64" w14:textId="77777777" w:rsidR="00F5740B" w:rsidRDefault="00F5740B"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44922058" w14:textId="359E7E95"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4EC7DB23"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DC3B68"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5CAF1777" w:rsidR="00EB1B37"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06072E95" w14:textId="1B8630AC"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A7S329 “Розмір товарного ризику”</w:t>
      </w:r>
    </w:p>
    <w:p w14:paraId="5C92C1A6"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товарного ризику, що розрахований згідно з розділом V Положення № 162.</w:t>
      </w:r>
    </w:p>
    <w:p w14:paraId="44241037" w14:textId="77777777" w:rsidR="00F00C61" w:rsidRPr="003B2FA3" w:rsidRDefault="00F00C61"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31AB5D3B"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1BEE" w14:textId="77777777" w:rsidR="00C262B2" w:rsidRDefault="00C262B2" w:rsidP="00E01B21">
      <w:pPr>
        <w:spacing w:after="0" w:line="240" w:lineRule="auto"/>
      </w:pPr>
      <w:r>
        <w:separator/>
      </w:r>
    </w:p>
  </w:endnote>
  <w:endnote w:type="continuationSeparator" w:id="0">
    <w:p w14:paraId="27E64BB3" w14:textId="77777777" w:rsidR="00C262B2" w:rsidRDefault="00C262B2"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3208" w14:textId="77777777" w:rsidR="00C262B2" w:rsidRDefault="00C262B2" w:rsidP="00E01B21">
      <w:pPr>
        <w:spacing w:after="0" w:line="240" w:lineRule="auto"/>
      </w:pPr>
      <w:r>
        <w:separator/>
      </w:r>
    </w:p>
  </w:footnote>
  <w:footnote w:type="continuationSeparator" w:id="0">
    <w:p w14:paraId="355C7DE0" w14:textId="77777777" w:rsidR="00C262B2" w:rsidRDefault="00C262B2"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061D7"/>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245D"/>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C70EF"/>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1BAE"/>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D01"/>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344C"/>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08F1"/>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00F"/>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56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07DA1"/>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2E38"/>
    <w:rsid w:val="0069401B"/>
    <w:rsid w:val="00695DBA"/>
    <w:rsid w:val="00696E92"/>
    <w:rsid w:val="006B21F1"/>
    <w:rsid w:val="006B5C6E"/>
    <w:rsid w:val="006B7190"/>
    <w:rsid w:val="006C0373"/>
    <w:rsid w:val="006C0467"/>
    <w:rsid w:val="006C12DC"/>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6F99"/>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750C2"/>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2957"/>
    <w:rsid w:val="008248D0"/>
    <w:rsid w:val="00826DB8"/>
    <w:rsid w:val="00827EF6"/>
    <w:rsid w:val="008317E4"/>
    <w:rsid w:val="00832BE7"/>
    <w:rsid w:val="00834337"/>
    <w:rsid w:val="00836312"/>
    <w:rsid w:val="00841164"/>
    <w:rsid w:val="00851335"/>
    <w:rsid w:val="00851755"/>
    <w:rsid w:val="00851A99"/>
    <w:rsid w:val="00854DC2"/>
    <w:rsid w:val="00861A2C"/>
    <w:rsid w:val="00862BF4"/>
    <w:rsid w:val="00862FE4"/>
    <w:rsid w:val="0086396C"/>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375F"/>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06A7"/>
    <w:rsid w:val="00B376BD"/>
    <w:rsid w:val="00B37FD8"/>
    <w:rsid w:val="00B4109B"/>
    <w:rsid w:val="00B4343B"/>
    <w:rsid w:val="00B44B9E"/>
    <w:rsid w:val="00B461E9"/>
    <w:rsid w:val="00B46429"/>
    <w:rsid w:val="00B47AFF"/>
    <w:rsid w:val="00B501CE"/>
    <w:rsid w:val="00B50D2B"/>
    <w:rsid w:val="00B518E8"/>
    <w:rsid w:val="00B53B7D"/>
    <w:rsid w:val="00B57C00"/>
    <w:rsid w:val="00B619B2"/>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262B2"/>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A5FB0"/>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0C61"/>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5740B"/>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C528E"/>
    <w:rsid w:val="00FD0E4A"/>
    <w:rsid w:val="00FD2EE5"/>
    <w:rsid w:val="00FD3245"/>
    <w:rsid w:val="00FD56E7"/>
    <w:rsid w:val="00FD6787"/>
    <w:rsid w:val="00FE0B75"/>
    <w:rsid w:val="00FE1CD8"/>
    <w:rsid w:val="00FE2CF3"/>
    <w:rsid w:val="00FE4382"/>
    <w:rsid w:val="00FE5070"/>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CDC6-59D8-4557-8219-F141FC15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31200</Words>
  <Characters>17785</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4</cp:revision>
  <cp:lastPrinted>2019-12-06T12:43:00Z</cp:lastPrinted>
  <dcterms:created xsi:type="dcterms:W3CDTF">2025-03-21T08:21:00Z</dcterms:created>
  <dcterms:modified xsi:type="dcterms:W3CDTF">2025-03-21T08:26:00Z</dcterms:modified>
</cp:coreProperties>
</file>