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611CC" w14:textId="77777777" w:rsidR="0037287B" w:rsidRDefault="0037287B" w:rsidP="0037287B">
      <w:pPr>
        <w:jc w:val="right"/>
      </w:pPr>
      <w:r>
        <w:t>ПРОЄКТ</w:t>
      </w:r>
    </w:p>
    <w:p w14:paraId="7EC0207E" w14:textId="77777777" w:rsidR="001D1026" w:rsidRDefault="001D1026">
      <w:pPr>
        <w:rPr>
          <w:sz w:val="2"/>
          <w:szCs w:val="2"/>
          <w:lang w:val="en-US"/>
        </w:rPr>
      </w:pPr>
      <w:bookmarkStart w:id="0" w:name="_GoBack"/>
      <w:bookmarkEnd w:id="0"/>
    </w:p>
    <w:tbl>
      <w:tblPr>
        <w:tblW w:w="9638" w:type="dxa"/>
        <w:tblLook w:val="04A0" w:firstRow="1" w:lastRow="0" w:firstColumn="1" w:lastColumn="0" w:noHBand="0" w:noVBand="1"/>
      </w:tblPr>
      <w:tblGrid>
        <w:gridCol w:w="3178"/>
        <w:gridCol w:w="3225"/>
        <w:gridCol w:w="3235"/>
      </w:tblGrid>
      <w:tr w:rsidR="001D1026" w14:paraId="1CFA41F6" w14:textId="77777777">
        <w:trPr>
          <w:trHeight w:val="851"/>
        </w:trPr>
        <w:tc>
          <w:tcPr>
            <w:tcW w:w="3178" w:type="dxa"/>
            <w:shd w:val="clear" w:color="auto" w:fill="auto"/>
          </w:tcPr>
          <w:p w14:paraId="2BAB82E0" w14:textId="77777777" w:rsidR="001D1026" w:rsidRDefault="001D1026"/>
        </w:tc>
        <w:tc>
          <w:tcPr>
            <w:tcW w:w="3225" w:type="dxa"/>
            <w:vMerge w:val="restart"/>
            <w:shd w:val="clear" w:color="auto" w:fill="auto"/>
          </w:tcPr>
          <w:p w14:paraId="6DC8A403" w14:textId="77777777" w:rsidR="001D1026" w:rsidRDefault="006826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EB706E" wp14:editId="5B451070">
                  <wp:extent cx="439420" cy="588645"/>
                  <wp:effectExtent l="0" t="0" r="0" b="0"/>
                  <wp:docPr id="1" name="ole_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le_rI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shd w:val="clear" w:color="auto" w:fill="auto"/>
          </w:tcPr>
          <w:p w14:paraId="454902B9" w14:textId="77777777" w:rsidR="001D1026" w:rsidRDefault="001D1026"/>
        </w:tc>
      </w:tr>
      <w:tr w:rsidR="001D1026" w14:paraId="703086E1" w14:textId="77777777">
        <w:tc>
          <w:tcPr>
            <w:tcW w:w="3178" w:type="dxa"/>
            <w:shd w:val="clear" w:color="auto" w:fill="auto"/>
          </w:tcPr>
          <w:p w14:paraId="47C12A2C" w14:textId="77777777" w:rsidR="001D1026" w:rsidRDefault="001D1026"/>
        </w:tc>
        <w:tc>
          <w:tcPr>
            <w:tcW w:w="3225" w:type="dxa"/>
            <w:vMerge/>
            <w:shd w:val="clear" w:color="auto" w:fill="auto"/>
          </w:tcPr>
          <w:p w14:paraId="587BAF7A" w14:textId="77777777" w:rsidR="001D1026" w:rsidRDefault="001D1026"/>
        </w:tc>
        <w:tc>
          <w:tcPr>
            <w:tcW w:w="3235" w:type="dxa"/>
            <w:shd w:val="clear" w:color="auto" w:fill="auto"/>
          </w:tcPr>
          <w:p w14:paraId="1C07BED4" w14:textId="77777777" w:rsidR="001D1026" w:rsidRDefault="001D1026"/>
        </w:tc>
      </w:tr>
      <w:tr w:rsidR="001D1026" w14:paraId="0534FA84" w14:textId="77777777">
        <w:tc>
          <w:tcPr>
            <w:tcW w:w="9638" w:type="dxa"/>
            <w:gridSpan w:val="3"/>
            <w:shd w:val="clear" w:color="auto" w:fill="auto"/>
          </w:tcPr>
          <w:p w14:paraId="10B36AF7" w14:textId="77777777" w:rsidR="001D1026" w:rsidRDefault="00682625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4E1B37B5" w14:textId="77777777" w:rsidR="001D1026" w:rsidRDefault="00682625">
            <w:pPr>
              <w:jc w:val="center"/>
              <w:rPr>
                <w:b/>
                <w:bCs/>
                <w:color w:val="006600"/>
                <w:sz w:val="32"/>
                <w:szCs w:val="32"/>
              </w:rPr>
            </w:pPr>
            <w:r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5C7B52AC" w14:textId="77777777" w:rsidR="001D1026" w:rsidRDefault="001D1026">
      <w:pPr>
        <w:rPr>
          <w:sz w:val="4"/>
          <w:szCs w:val="4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408"/>
        <w:gridCol w:w="2639"/>
        <w:gridCol w:w="1675"/>
        <w:gridCol w:w="1916"/>
      </w:tblGrid>
      <w:tr w:rsidR="001D1026" w14:paraId="668BD393" w14:textId="77777777">
        <w:tc>
          <w:tcPr>
            <w:tcW w:w="3407" w:type="dxa"/>
            <w:shd w:val="clear" w:color="auto" w:fill="auto"/>
            <w:vAlign w:val="bottom"/>
          </w:tcPr>
          <w:p w14:paraId="021F7D96" w14:textId="77777777" w:rsidR="001D1026" w:rsidRDefault="001D1026"/>
        </w:tc>
        <w:tc>
          <w:tcPr>
            <w:tcW w:w="2639" w:type="dxa"/>
            <w:shd w:val="clear" w:color="auto" w:fill="auto"/>
          </w:tcPr>
          <w:p w14:paraId="0D218297" w14:textId="77777777" w:rsidR="001D1026" w:rsidRDefault="00682625">
            <w:pPr>
              <w:spacing w:before="240"/>
              <w:jc w:val="center"/>
              <w:rPr>
                <w:color w:val="006600"/>
              </w:rPr>
            </w:pPr>
            <w:r>
              <w:rPr>
                <w:color w:val="006600"/>
              </w:rPr>
              <w:t>м. Київ</w:t>
            </w:r>
          </w:p>
        </w:tc>
        <w:tc>
          <w:tcPr>
            <w:tcW w:w="1675" w:type="dxa"/>
            <w:shd w:val="clear" w:color="auto" w:fill="auto"/>
            <w:vAlign w:val="bottom"/>
          </w:tcPr>
          <w:p w14:paraId="599B9CF1" w14:textId="77777777" w:rsidR="001D1026" w:rsidRDefault="001D1026">
            <w:pPr>
              <w:jc w:val="right"/>
            </w:pPr>
          </w:p>
        </w:tc>
        <w:tc>
          <w:tcPr>
            <w:tcW w:w="1916" w:type="dxa"/>
            <w:shd w:val="clear" w:color="auto" w:fill="auto"/>
            <w:vAlign w:val="bottom"/>
          </w:tcPr>
          <w:p w14:paraId="41E0C253" w14:textId="77777777" w:rsidR="001D1026" w:rsidRDefault="001D1026">
            <w:pPr>
              <w:jc w:val="left"/>
            </w:pPr>
          </w:p>
        </w:tc>
      </w:tr>
    </w:tbl>
    <w:p w14:paraId="1D409E0C" w14:textId="77777777" w:rsidR="001D1026" w:rsidRDefault="001D1026">
      <w:pPr>
        <w:rPr>
          <w:sz w:val="2"/>
          <w:szCs w:val="2"/>
        </w:rPr>
      </w:pPr>
    </w:p>
    <w:tbl>
      <w:tblPr>
        <w:tblW w:w="3450" w:type="pct"/>
        <w:jc w:val="center"/>
        <w:tblLook w:val="04A0" w:firstRow="1" w:lastRow="0" w:firstColumn="1" w:lastColumn="0" w:noHBand="0" w:noVBand="1"/>
      </w:tblPr>
      <w:tblGrid>
        <w:gridCol w:w="6650"/>
      </w:tblGrid>
      <w:tr w:rsidR="001D1026" w14:paraId="45B97FD1" w14:textId="77777777">
        <w:trPr>
          <w:jc w:val="center"/>
        </w:trPr>
        <w:tc>
          <w:tcPr>
            <w:tcW w:w="6650" w:type="dxa"/>
            <w:shd w:val="clear" w:color="auto" w:fill="auto"/>
          </w:tcPr>
          <w:p w14:paraId="52FBFE90" w14:textId="77777777" w:rsidR="001D1026" w:rsidRDefault="001D1026">
            <w:pPr>
              <w:tabs>
                <w:tab w:val="left" w:pos="840"/>
                <w:tab w:val="center" w:pos="3293"/>
              </w:tabs>
              <w:jc w:val="center"/>
            </w:pPr>
          </w:p>
          <w:p w14:paraId="2861A9BD" w14:textId="77777777" w:rsidR="001D1026" w:rsidRDefault="00682625">
            <w:pPr>
              <w:tabs>
                <w:tab w:val="left" w:pos="840"/>
                <w:tab w:val="center" w:pos="3293"/>
              </w:tabs>
              <w:spacing w:before="240" w:after="240"/>
              <w:jc w:val="center"/>
            </w:pPr>
            <w:r>
              <w:rPr>
                <w:color w:val="000000"/>
                <w:lang w:eastAsia="en-US"/>
              </w:rPr>
              <w:t xml:space="preserve">Про подання </w:t>
            </w:r>
            <w:r>
              <w:rPr>
                <w:iCs/>
                <w:color w:val="000000" w:themeColor="text1"/>
                <w:lang w:eastAsia="en-US"/>
              </w:rPr>
              <w:t xml:space="preserve">учасниками ринку небанківських фінансових послуг </w:t>
            </w:r>
            <w:r>
              <w:rPr>
                <w:color w:val="000000"/>
                <w:lang w:eastAsia="en-US"/>
              </w:rPr>
              <w:t>фінансової звітності на основі таксономії фінансової звітності за міжнародними стандартами</w:t>
            </w:r>
          </w:p>
        </w:tc>
      </w:tr>
    </w:tbl>
    <w:p w14:paraId="78694BB1" w14:textId="77777777" w:rsidR="001D1026" w:rsidRDefault="00682625">
      <w:pPr>
        <w:spacing w:before="240" w:after="240"/>
        <w:ind w:firstLine="709"/>
        <w:rPr>
          <w:b/>
        </w:rPr>
      </w:pPr>
      <w:r>
        <w:rPr>
          <w:iCs/>
          <w:color w:val="000000"/>
          <w:lang w:eastAsia="en-US"/>
        </w:rPr>
        <w:t xml:space="preserve">Відповідно до статей 7, 15, 56 Закону України </w:t>
      </w:r>
      <w:r>
        <w:rPr>
          <w:color w:val="000000"/>
        </w:rPr>
        <w:t>“</w:t>
      </w:r>
      <w:r>
        <w:rPr>
          <w:iCs/>
          <w:color w:val="000000"/>
          <w:lang w:eastAsia="en-US"/>
        </w:rPr>
        <w:t>Про Національний банк України</w:t>
      </w:r>
      <w:r>
        <w:rPr>
          <w:color w:val="000000"/>
        </w:rPr>
        <w:t>”</w:t>
      </w:r>
      <w:r>
        <w:rPr>
          <w:iCs/>
          <w:color w:val="000000"/>
          <w:lang w:eastAsia="en-US"/>
        </w:rPr>
        <w:t xml:space="preserve">, статей 14, 20, 21, 28, 39 Закону України </w:t>
      </w:r>
      <w:r>
        <w:rPr>
          <w:color w:val="000000"/>
        </w:rPr>
        <w:t>“</w:t>
      </w:r>
      <w:r>
        <w:rPr>
          <w:iCs/>
          <w:color w:val="000000"/>
          <w:lang w:eastAsia="en-US"/>
        </w:rPr>
        <w:t>Про фінансові послуги та державне регулювання ринків фінансових послуг”, статей 11, 12</w:t>
      </w:r>
      <w:r>
        <w:rPr>
          <w:iCs/>
          <w:color w:val="000000"/>
          <w:vertAlign w:val="superscript"/>
          <w:lang w:eastAsia="en-US"/>
        </w:rPr>
        <w:t>1</w:t>
      </w:r>
      <w:r>
        <w:rPr>
          <w:iCs/>
          <w:color w:val="000000"/>
          <w:lang w:eastAsia="en-US"/>
        </w:rPr>
        <w:t xml:space="preserve">, 14 Закону України “Про бухгалтерський облік та фінансову звітність в Україні”, з метою </w:t>
      </w:r>
      <w:r>
        <w:rPr>
          <w:iCs/>
          <w:color w:val="000000" w:themeColor="text1"/>
          <w:lang w:eastAsia="en-US"/>
        </w:rPr>
        <w:t xml:space="preserve">встановлення </w:t>
      </w:r>
      <w:r>
        <w:rPr>
          <w:rFonts w:ascii="Times" w:hAnsi="Times"/>
        </w:rPr>
        <w:t>перехідного періоду для складання</w:t>
      </w:r>
      <w:r>
        <w:rPr>
          <w:iCs/>
          <w:color w:val="000000"/>
          <w:lang w:eastAsia="en-US"/>
        </w:rPr>
        <w:t xml:space="preserve"> та подання </w:t>
      </w:r>
      <w:r>
        <w:rPr>
          <w:iCs/>
          <w:color w:val="000000" w:themeColor="text1"/>
          <w:lang w:eastAsia="en-US"/>
        </w:rPr>
        <w:t xml:space="preserve">учасниками ринку небанківських фінансових послуг </w:t>
      </w:r>
      <w:r>
        <w:rPr>
          <w:iCs/>
          <w:color w:val="000000"/>
          <w:lang w:eastAsia="en-US"/>
        </w:rPr>
        <w:t>фінансової звітності, складеної на основі таксономії фінансової звітності за міжнародними стандартами фінансової звітності в єдиному електронному форматі, Правління Національного</w:t>
      </w:r>
      <w:r>
        <w:t xml:space="preserve"> банку України</w:t>
      </w:r>
      <w:r>
        <w:rPr>
          <w:b/>
        </w:rPr>
        <w:t xml:space="preserve"> постановляє:</w:t>
      </w:r>
    </w:p>
    <w:p w14:paraId="7A89AC2D" w14:textId="77777777" w:rsidR="001D1026" w:rsidRPr="002223FC" w:rsidRDefault="00B85701">
      <w:pPr>
        <w:spacing w:before="240" w:after="240"/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1</w:t>
      </w:r>
      <w:r w:rsidR="00682625">
        <w:rPr>
          <w:color w:val="000000"/>
          <w:lang w:eastAsia="en-US"/>
        </w:rPr>
        <w:t>. Національний банк України не застосовує до учасників ринків небанківських фінансових послуг</w:t>
      </w:r>
      <w:r w:rsidR="004647F4">
        <w:rPr>
          <w:color w:val="000000"/>
          <w:lang w:eastAsia="en-US"/>
        </w:rPr>
        <w:t>,</w:t>
      </w:r>
      <w:r w:rsidR="004647F4" w:rsidRPr="004647F4">
        <w:rPr>
          <w:color w:val="000000"/>
          <w:lang w:eastAsia="en-US"/>
        </w:rPr>
        <w:t xml:space="preserve"> регулювання і нагляд за якими здійснює Національний банк України</w:t>
      </w:r>
      <w:r w:rsidR="004647F4">
        <w:rPr>
          <w:color w:val="000000"/>
          <w:lang w:eastAsia="en-US"/>
        </w:rPr>
        <w:t xml:space="preserve">, </w:t>
      </w:r>
      <w:r w:rsidR="004647F4" w:rsidRPr="004647F4">
        <w:rPr>
          <w:color w:val="000000"/>
          <w:lang w:eastAsia="en-US"/>
        </w:rPr>
        <w:t xml:space="preserve">які відповідно до Закону України “Про бухгалтерський облік та фінансову звітність в Україні” зобов’язані складати і подавати фінансову звітність </w:t>
      </w:r>
      <w:r w:rsidR="004647F4" w:rsidRPr="00B85701">
        <w:rPr>
          <w:color w:val="000000"/>
          <w:lang w:eastAsia="en-US"/>
        </w:rPr>
        <w:t>та консолідовану фінансову звітність за міжнародними стандартами фінансової звітності</w:t>
      </w:r>
      <w:r w:rsidR="00C51F07">
        <w:rPr>
          <w:color w:val="000000"/>
          <w:lang w:eastAsia="en-US"/>
        </w:rPr>
        <w:t>,</w:t>
      </w:r>
      <w:r w:rsidR="00682625">
        <w:rPr>
          <w:color w:val="000000"/>
          <w:lang w:eastAsia="en-US"/>
        </w:rPr>
        <w:t xml:space="preserve"> заходи впливу за порушення ними строків подання фінансової звітності </w:t>
      </w:r>
      <w:r w:rsidR="004647F4" w:rsidRPr="00B85701">
        <w:rPr>
          <w:color w:val="000000"/>
          <w:lang w:eastAsia="en-US"/>
        </w:rPr>
        <w:t xml:space="preserve">та консолідованої фінансової звітності </w:t>
      </w:r>
      <w:r w:rsidR="00682625">
        <w:rPr>
          <w:color w:val="000000"/>
          <w:lang w:eastAsia="en-US"/>
        </w:rPr>
        <w:t xml:space="preserve">за 2020 рік, проміжної фінансової звітності </w:t>
      </w:r>
      <w:r w:rsidR="004647F4" w:rsidRPr="00B85701">
        <w:rPr>
          <w:color w:val="000000"/>
          <w:lang w:eastAsia="en-US"/>
        </w:rPr>
        <w:t xml:space="preserve">та </w:t>
      </w:r>
      <w:r w:rsidR="00870C0F">
        <w:rPr>
          <w:color w:val="000000"/>
          <w:lang w:eastAsia="en-US"/>
        </w:rPr>
        <w:t xml:space="preserve">проміжної </w:t>
      </w:r>
      <w:r w:rsidR="004647F4" w:rsidRPr="00B85701">
        <w:rPr>
          <w:color w:val="000000"/>
          <w:lang w:eastAsia="en-US"/>
        </w:rPr>
        <w:t xml:space="preserve">консолідованої фінансової звітності </w:t>
      </w:r>
      <w:r w:rsidR="00682625">
        <w:rPr>
          <w:color w:val="000000"/>
          <w:lang w:eastAsia="en-US"/>
        </w:rPr>
        <w:t>за 2021 р</w:t>
      </w:r>
      <w:r w:rsidR="004647F4">
        <w:rPr>
          <w:color w:val="000000"/>
          <w:lang w:eastAsia="en-US"/>
        </w:rPr>
        <w:t>і</w:t>
      </w:r>
      <w:r w:rsidR="00682625">
        <w:rPr>
          <w:color w:val="000000"/>
          <w:lang w:eastAsia="en-US"/>
        </w:rPr>
        <w:t>к</w:t>
      </w:r>
      <w:r w:rsidR="004647F4">
        <w:rPr>
          <w:color w:val="000000"/>
          <w:lang w:eastAsia="en-US"/>
        </w:rPr>
        <w:t xml:space="preserve"> (перший квартал, </w:t>
      </w:r>
      <w:r w:rsidR="00682625">
        <w:rPr>
          <w:color w:val="000000"/>
          <w:lang w:eastAsia="en-US"/>
        </w:rPr>
        <w:t>перше півріччя</w:t>
      </w:r>
      <w:r w:rsidR="004647F4">
        <w:rPr>
          <w:color w:val="000000"/>
          <w:lang w:eastAsia="en-US"/>
        </w:rPr>
        <w:t>,</w:t>
      </w:r>
      <w:r w:rsidR="00682625">
        <w:rPr>
          <w:color w:val="000000"/>
          <w:lang w:eastAsia="en-US"/>
        </w:rPr>
        <w:t xml:space="preserve"> дев’ять місяців</w:t>
      </w:r>
      <w:r w:rsidR="004647F4">
        <w:rPr>
          <w:color w:val="000000"/>
          <w:lang w:eastAsia="en-US"/>
        </w:rPr>
        <w:t>)</w:t>
      </w:r>
      <w:r w:rsidR="00682625">
        <w:rPr>
          <w:color w:val="000000"/>
          <w:lang w:eastAsia="en-US"/>
        </w:rPr>
        <w:t>, складених на основі таксономії фінансової звітності за міжнародними стандартами в єдиному електронному форматі</w:t>
      </w:r>
      <w:r w:rsidR="0090097C">
        <w:rPr>
          <w:color w:val="000000"/>
          <w:lang w:eastAsia="en-US"/>
        </w:rPr>
        <w:t>,</w:t>
      </w:r>
      <w:r w:rsidR="00682625">
        <w:rPr>
          <w:color w:val="000000"/>
          <w:lang w:eastAsia="en-US"/>
        </w:rPr>
        <w:t xml:space="preserve"> до центру збору фінансової звітності, </w:t>
      </w:r>
      <w:r w:rsidR="003462CE" w:rsidRPr="003462CE">
        <w:rPr>
          <w:color w:val="000000"/>
          <w:lang w:eastAsia="en-US"/>
        </w:rPr>
        <w:t>операційне управління яким здійснюється Національною комісією з цінних паперів та фондового ринку</w:t>
      </w:r>
      <w:r w:rsidR="0090097C">
        <w:rPr>
          <w:color w:val="000000"/>
          <w:lang w:eastAsia="en-US"/>
        </w:rPr>
        <w:t>,</w:t>
      </w:r>
      <w:r w:rsidR="003462CE">
        <w:rPr>
          <w:color w:val="000000"/>
          <w:lang w:eastAsia="en-US"/>
        </w:rPr>
        <w:t xml:space="preserve"> </w:t>
      </w:r>
      <w:r w:rsidR="00682625">
        <w:rPr>
          <w:color w:val="000000"/>
          <w:lang w:eastAsia="en-US"/>
        </w:rPr>
        <w:t xml:space="preserve">за умови подання такої фінансової звітності до 31 грудня 2021 року. </w:t>
      </w:r>
    </w:p>
    <w:p w14:paraId="0E9F2353" w14:textId="77777777" w:rsidR="001D1026" w:rsidRDefault="00B85701">
      <w:pPr>
        <w:spacing w:before="240"/>
        <w:ind w:firstLine="709"/>
        <w:rPr>
          <w:color w:val="000000"/>
        </w:rPr>
      </w:pPr>
      <w:r>
        <w:rPr>
          <w:color w:val="000000"/>
        </w:rPr>
        <w:lastRenderedPageBreak/>
        <w:t>2</w:t>
      </w:r>
      <w:r w:rsidR="00682625">
        <w:rPr>
          <w:color w:val="000000"/>
        </w:rPr>
        <w:t xml:space="preserve">. Постанова набирає чинності з дня, наступного за днем її офіційного </w:t>
      </w:r>
      <w:r w:rsidR="00682625" w:rsidRPr="0000475B">
        <w:rPr>
          <w:color w:val="000000"/>
        </w:rPr>
        <w:t>опублікування</w:t>
      </w:r>
      <w:r w:rsidR="0000475B" w:rsidRPr="0000475B">
        <w:rPr>
          <w:color w:val="000000"/>
          <w:lang w:val="ru-RU"/>
        </w:rPr>
        <w:t xml:space="preserve"> </w:t>
      </w:r>
      <w:r w:rsidR="0000475B" w:rsidRPr="0000475B">
        <w:rPr>
          <w:color w:val="000000"/>
        </w:rPr>
        <w:t>та діє до 31 грудня 2021 року</w:t>
      </w:r>
      <w:r w:rsidR="00682625" w:rsidRPr="0000475B">
        <w:rPr>
          <w:color w:val="000000"/>
        </w:rPr>
        <w:t>.</w:t>
      </w:r>
    </w:p>
    <w:p w14:paraId="0A1AED10" w14:textId="77777777" w:rsidR="001D1026" w:rsidRDefault="001D1026">
      <w:pPr>
        <w:jc w:val="left"/>
        <w:rPr>
          <w:color w:val="000000"/>
          <w:lang w:eastAsia="en-US"/>
        </w:rPr>
      </w:pPr>
    </w:p>
    <w:p w14:paraId="46054459" w14:textId="77777777" w:rsidR="001D1026" w:rsidRDefault="001D1026">
      <w:pPr>
        <w:jc w:val="left"/>
        <w:rPr>
          <w:color w:val="000000"/>
          <w:lang w:eastAsia="en-US"/>
        </w:rPr>
      </w:pPr>
    </w:p>
    <w:p w14:paraId="531BD363" w14:textId="77777777" w:rsidR="001D1026" w:rsidRDefault="001D1026">
      <w:pPr>
        <w:pStyle w:val="afc"/>
        <w:ind w:left="0"/>
        <w:jc w:val="left"/>
        <w:rPr>
          <w:color w:val="000000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2"/>
        <w:gridCol w:w="4255"/>
      </w:tblGrid>
      <w:tr w:rsidR="001D1026" w14:paraId="7D78E31D" w14:textId="77777777">
        <w:tc>
          <w:tcPr>
            <w:tcW w:w="5491" w:type="dxa"/>
            <w:shd w:val="clear" w:color="auto" w:fill="auto"/>
            <w:vAlign w:val="bottom"/>
          </w:tcPr>
          <w:p w14:paraId="6D895A9F" w14:textId="77777777" w:rsidR="001D1026" w:rsidRDefault="00682625">
            <w:pPr>
              <w:tabs>
                <w:tab w:val="left" w:pos="7020"/>
                <w:tab w:val="left" w:pos="7200"/>
              </w:tabs>
              <w:jc w:val="left"/>
            </w:pPr>
            <w:r>
              <w:t>Голова</w:t>
            </w:r>
          </w:p>
        </w:tc>
        <w:tc>
          <w:tcPr>
            <w:tcW w:w="4255" w:type="dxa"/>
            <w:shd w:val="clear" w:color="auto" w:fill="auto"/>
            <w:vAlign w:val="bottom"/>
          </w:tcPr>
          <w:p w14:paraId="496687E9" w14:textId="77777777" w:rsidR="001D1026" w:rsidRDefault="00682625">
            <w:pPr>
              <w:tabs>
                <w:tab w:val="left" w:pos="7020"/>
                <w:tab w:val="left" w:pos="7200"/>
              </w:tabs>
              <w:ind w:left="32"/>
              <w:jc w:val="right"/>
            </w:pPr>
            <w:r>
              <w:t>Кирило ШЕВЧЕНКО</w:t>
            </w:r>
          </w:p>
        </w:tc>
      </w:tr>
    </w:tbl>
    <w:p w14:paraId="21ADB7D6" w14:textId="77777777" w:rsidR="001D1026" w:rsidRDefault="001D1026"/>
    <w:p w14:paraId="20726097" w14:textId="77777777" w:rsidR="001D1026" w:rsidRDefault="001D1026"/>
    <w:p w14:paraId="5EF03E25" w14:textId="77777777" w:rsidR="001D1026" w:rsidRDefault="00682625">
      <w:pPr>
        <w:jc w:val="left"/>
      </w:pPr>
      <w:r>
        <w:t>Інд.</w:t>
      </w:r>
      <w:r>
        <w:rPr>
          <w:sz w:val="22"/>
          <w:szCs w:val="22"/>
        </w:rPr>
        <w:t xml:space="preserve"> </w:t>
      </w:r>
      <w:r>
        <w:t>33</w:t>
      </w:r>
    </w:p>
    <w:p w14:paraId="418D019C" w14:textId="77777777" w:rsidR="001D1026" w:rsidRDefault="001D1026">
      <w:pPr>
        <w:jc w:val="left"/>
      </w:pPr>
    </w:p>
    <w:p w14:paraId="5983944A" w14:textId="77777777" w:rsidR="001D1026" w:rsidRDefault="001D1026">
      <w:pPr>
        <w:jc w:val="left"/>
      </w:pPr>
    </w:p>
    <w:p w14:paraId="27DCB3D3" w14:textId="77777777" w:rsidR="001D1026" w:rsidRDefault="001D1026">
      <w:pPr>
        <w:jc w:val="left"/>
      </w:pPr>
    </w:p>
    <w:sectPr w:rsidR="001D1026">
      <w:headerReference w:type="default" r:id="rId7"/>
      <w:headerReference w:type="first" r:id="rId8"/>
      <w:pgSz w:w="11906" w:h="16838"/>
      <w:pgMar w:top="766" w:right="567" w:bottom="2269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9B243" w14:textId="77777777" w:rsidR="00567E8E" w:rsidRDefault="00567E8E">
      <w:r>
        <w:separator/>
      </w:r>
    </w:p>
  </w:endnote>
  <w:endnote w:type="continuationSeparator" w:id="0">
    <w:p w14:paraId="4B20D416" w14:textId="77777777" w:rsidR="00567E8E" w:rsidRDefault="00567E8E">
      <w:r>
        <w:continuationSeparator/>
      </w:r>
    </w:p>
  </w:endnote>
  <w:endnote w:type="continuationNotice" w:id="1">
    <w:p w14:paraId="3AA1C440" w14:textId="77777777" w:rsidR="00567E8E" w:rsidRDefault="00567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CC"/>
    <w:family w:val="roman"/>
    <w:pitch w:val="variable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796A" w14:textId="77777777" w:rsidR="00567E8E" w:rsidRDefault="00567E8E">
      <w:r>
        <w:separator/>
      </w:r>
    </w:p>
  </w:footnote>
  <w:footnote w:type="continuationSeparator" w:id="0">
    <w:p w14:paraId="032A0E8B" w14:textId="77777777" w:rsidR="00567E8E" w:rsidRDefault="00567E8E">
      <w:r>
        <w:continuationSeparator/>
      </w:r>
    </w:p>
  </w:footnote>
  <w:footnote w:type="continuationNotice" w:id="1">
    <w:p w14:paraId="6BAE00A7" w14:textId="77777777" w:rsidR="00567E8E" w:rsidRDefault="00567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3DBC" w14:textId="1CD58B68" w:rsidR="001D1026" w:rsidRDefault="00682625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37287B">
      <w:rPr>
        <w:noProof/>
      </w:rPr>
      <w:t>2</w:t>
    </w:r>
    <w:r>
      <w:fldChar w:fldCharType="end"/>
    </w:r>
  </w:p>
  <w:p w14:paraId="57454B28" w14:textId="77777777" w:rsidR="001D1026" w:rsidRDefault="001D102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1976" w14:textId="77777777" w:rsidR="001D1026" w:rsidRDefault="00682625">
    <w:pPr>
      <w:jc w:val="right"/>
      <w:rPr>
        <w:sz w:val="24"/>
        <w:szCs w:val="24"/>
      </w:rPr>
    </w:pPr>
    <w:r>
      <w:rPr>
        <w:sz w:val="24"/>
        <w:szCs w:val="24"/>
      </w:rPr>
      <w:t xml:space="preserve">    </w:t>
    </w:r>
  </w:p>
  <w:p w14:paraId="66B0AB1E" w14:textId="77777777" w:rsidR="001D1026" w:rsidRDefault="001D102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26"/>
    <w:rsid w:val="0000475B"/>
    <w:rsid w:val="00041A94"/>
    <w:rsid w:val="00071D49"/>
    <w:rsid w:val="001D1026"/>
    <w:rsid w:val="001F6161"/>
    <w:rsid w:val="002223FC"/>
    <w:rsid w:val="0031153A"/>
    <w:rsid w:val="003462CE"/>
    <w:rsid w:val="0037287B"/>
    <w:rsid w:val="00387E6B"/>
    <w:rsid w:val="003E0622"/>
    <w:rsid w:val="004647F4"/>
    <w:rsid w:val="004946AA"/>
    <w:rsid w:val="004957C7"/>
    <w:rsid w:val="00567E8E"/>
    <w:rsid w:val="00682625"/>
    <w:rsid w:val="006D38AA"/>
    <w:rsid w:val="007C67DF"/>
    <w:rsid w:val="00866BF7"/>
    <w:rsid w:val="00870C0F"/>
    <w:rsid w:val="0090097C"/>
    <w:rsid w:val="009D2738"/>
    <w:rsid w:val="00B62953"/>
    <w:rsid w:val="00B85701"/>
    <w:rsid w:val="00BA01AC"/>
    <w:rsid w:val="00C51F07"/>
    <w:rsid w:val="00C86365"/>
    <w:rsid w:val="00D4684F"/>
    <w:rsid w:val="00DE62BA"/>
    <w:rsid w:val="00E016AF"/>
    <w:rsid w:val="00E41CC4"/>
    <w:rsid w:val="00E665DB"/>
    <w:rsid w:val="00E8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7985"/>
  <w15:docId w15:val="{0657B7FC-5F66-46BA-89FC-EE173388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qFormat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5">
    <w:name w:val="Нижній колонтитул Знак"/>
    <w:basedOn w:val="a0"/>
    <w:qFormat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6">
    <w:name w:val="Текст у виносці Знак"/>
    <w:basedOn w:val="a0"/>
    <w:qFormat/>
    <w:rPr>
      <w:rFonts w:ascii="Tahoma" w:hAnsi="Tahoma" w:cs="Tahoma"/>
      <w:sz w:val="16"/>
      <w:szCs w:val="16"/>
      <w:lang w:eastAsia="uk-UA"/>
    </w:rPr>
  </w:style>
  <w:style w:type="character" w:styleId="a7">
    <w:name w:val="Placeholder Text"/>
    <w:basedOn w:val="a0"/>
    <w:qFormat/>
    <w:rPr>
      <w:rFonts w:cs="Times New Roman"/>
      <w:color w:val="808080"/>
    </w:rPr>
  </w:style>
  <w:style w:type="character" w:customStyle="1" w:styleId="a8">
    <w:name w:val="Привітання Знак"/>
    <w:basedOn w:val="a0"/>
    <w:qFormat/>
    <w:rPr>
      <w:rFonts w:eastAsia="Times New Roman" w:cs="Calibri"/>
      <w:b/>
      <w:bCs/>
      <w:color w:val="000000"/>
      <w:lang w:val="ru-RU"/>
    </w:rPr>
  </w:style>
  <w:style w:type="character" w:customStyle="1" w:styleId="a9">
    <w:name w:val="Без інтервалів Знак"/>
    <w:basedOn w:val="a0"/>
    <w:qFormat/>
    <w:rPr>
      <w:rFonts w:ascii="Times New Roman" w:hAnsi="Times New Roman" w:cs="Times New Roman"/>
      <w:sz w:val="28"/>
      <w:szCs w:val="28"/>
      <w:lang w:eastAsia="uk-UA"/>
    </w:rPr>
  </w:style>
  <w:style w:type="character" w:styleId="aa">
    <w:name w:val="annotation reference"/>
    <w:qFormat/>
    <w:rPr>
      <w:sz w:val="16"/>
      <w:szCs w:val="16"/>
    </w:rPr>
  </w:style>
  <w:style w:type="character" w:customStyle="1" w:styleId="ab">
    <w:name w:val="Текст примітки Знак"/>
    <w:basedOn w:val="a0"/>
    <w:qFormat/>
    <w:rPr>
      <w:rFonts w:ascii="Times New Roman" w:eastAsia="SimSun" w:hAnsi="Times New Roman" w:cs="Times New Roman"/>
      <w:sz w:val="20"/>
      <w:szCs w:val="20"/>
      <w:lang w:eastAsia="uk-UA"/>
    </w:rPr>
  </w:style>
  <w:style w:type="character" w:customStyle="1" w:styleId="rvts23">
    <w:name w:val="rvts23"/>
    <w:basedOn w:val="a0"/>
    <w:qFormat/>
  </w:style>
  <w:style w:type="character" w:customStyle="1" w:styleId="ac">
    <w:name w:val="Тема примітки Знак"/>
    <w:basedOn w:val="ab"/>
    <w:qFormat/>
    <w:rPr>
      <w:rFonts w:ascii="Times New Roman" w:eastAsia="SimSun" w:hAnsi="Times New Roman" w:cs="Times New Roman"/>
      <w:b/>
      <w:bCs/>
      <w:sz w:val="20"/>
      <w:szCs w:val="20"/>
      <w:lang w:eastAsia="uk-UA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1">
    <w:name w:val="Гіперпосилання1"/>
    <w:basedOn w:val="a0"/>
    <w:qFormat/>
    <w:rPr>
      <w:color w:val="0000FF"/>
      <w:u w:val="single"/>
    </w:rPr>
  </w:style>
  <w:style w:type="character" w:customStyle="1" w:styleId="10">
    <w:name w:val="Текст примітки Знак1"/>
    <w:basedOn w:val="a0"/>
    <w:qFormat/>
    <w:rPr>
      <w:rFonts w:cs="Times New Roman"/>
    </w:rPr>
  </w:style>
  <w:style w:type="character" w:customStyle="1" w:styleId="rvts9">
    <w:name w:val="rvts9"/>
    <w:basedOn w:val="a0"/>
    <w:qFormat/>
  </w:style>
  <w:style w:type="character" w:customStyle="1" w:styleId="11">
    <w:name w:val="Текст виноски Знак1"/>
    <w:qFormat/>
    <w:rPr>
      <w:rFonts w:ascii="Arial" w:hAnsi="Arial"/>
      <w:sz w:val="24"/>
      <w:lang w:val="x-none" w:eastAsia="ru-RU"/>
    </w:rPr>
  </w:style>
  <w:style w:type="character" w:customStyle="1" w:styleId="ad">
    <w:name w:val="Текст виноски Знак"/>
    <w:basedOn w:val="a0"/>
    <w:qFormat/>
    <w:rPr>
      <w:rFonts w:ascii="Times New Roman" w:hAnsi="Times New Roman" w:cs="Times New Roman"/>
      <w:szCs w:val="20"/>
      <w:lang w:eastAsia="uk-UA"/>
    </w:rPr>
  </w:style>
  <w:style w:type="character" w:customStyle="1" w:styleId="2">
    <w:name w:val="Гіперпосилання2"/>
    <w:basedOn w:val="a0"/>
    <w:qFormat/>
    <w:rPr>
      <w:color w:val="0000FF"/>
      <w:u w:val="single"/>
    </w:rPr>
  </w:style>
  <w:style w:type="character" w:customStyle="1" w:styleId="hard-blue-color">
    <w:name w:val="hard-blue-color"/>
    <w:basedOn w:val="a0"/>
    <w:qFormat/>
  </w:style>
  <w:style w:type="character" w:customStyle="1" w:styleId="ae">
    <w:name w:val="Абзац списку Знак"/>
    <w:qFormat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 Unicode M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Arial Unicode MS"/>
    </w:rPr>
  </w:style>
  <w:style w:type="paragraph" w:styleId="af4">
    <w:name w:val="Title"/>
    <w:basedOn w:val="a"/>
    <w:next w:val="af0"/>
    <w:qFormat/>
    <w:pPr>
      <w:ind w:left="5040" w:firstLine="720"/>
      <w:jc w:val="center"/>
    </w:pPr>
    <w:rPr>
      <w:b/>
      <w:sz w:val="24"/>
      <w:szCs w:val="20"/>
      <w:lang w:val="ru-RU" w:eastAsia="ru-RU"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f5">
    <w:name w:val="header"/>
    <w:basedOn w:val="a"/>
    <w:pPr>
      <w:tabs>
        <w:tab w:val="center" w:pos="4819"/>
        <w:tab w:val="right" w:pos="9639"/>
      </w:tabs>
    </w:p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af7">
    <w:name w:val="Обратный адрес"/>
    <w:basedOn w:val="af8"/>
    <w:qFormat/>
    <w:pPr>
      <w:spacing w:after="360"/>
      <w:contextualSpacing/>
      <w:jc w:val="left"/>
    </w:pPr>
    <w:rPr>
      <w:rFonts w:ascii="Calibri" w:hAnsi="Calibri" w:cs="Calibri"/>
      <w:color w:val="000000"/>
      <w:sz w:val="22"/>
      <w:szCs w:val="22"/>
      <w:lang w:val="ru-RU" w:eastAsia="en-US"/>
    </w:rPr>
  </w:style>
  <w:style w:type="paragraph" w:styleId="af8">
    <w:name w:val="No Spacing"/>
    <w:qFormat/>
    <w:pPr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Текст даты"/>
    <w:basedOn w:val="a"/>
    <w:qFormat/>
    <w:pPr>
      <w:spacing w:before="720" w:after="200" w:line="276" w:lineRule="auto"/>
      <w:contextualSpacing/>
      <w:jc w:val="left"/>
    </w:pPr>
    <w:rPr>
      <w:rFonts w:ascii="Calibri" w:hAnsi="Calibri" w:cs="Calibri"/>
      <w:color w:val="000000"/>
      <w:sz w:val="22"/>
      <w:szCs w:val="22"/>
      <w:lang w:val="ru-RU" w:eastAsia="en-US"/>
    </w:rPr>
  </w:style>
  <w:style w:type="paragraph" w:styleId="afb">
    <w:name w:val="Salutation"/>
    <w:basedOn w:val="af8"/>
    <w:next w:val="a"/>
    <w:pPr>
      <w:spacing w:before="480" w:after="320"/>
      <w:contextualSpacing/>
      <w:jc w:val="left"/>
    </w:pPr>
    <w:rPr>
      <w:rFonts w:ascii="Calibri" w:hAnsi="Calibri" w:cs="Calibri"/>
      <w:b/>
      <w:bCs/>
      <w:color w:val="000000"/>
      <w:sz w:val="22"/>
      <w:szCs w:val="22"/>
      <w:lang w:val="ru-RU" w:eastAsia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annotation text"/>
    <w:basedOn w:val="a"/>
    <w:qFormat/>
    <w:rPr>
      <w:rFonts w:eastAsia="SimSun"/>
      <w:sz w:val="20"/>
      <w:szCs w:val="20"/>
    </w:rPr>
  </w:style>
  <w:style w:type="paragraph" w:styleId="afe">
    <w:name w:val="annotation subject"/>
    <w:basedOn w:val="afd"/>
    <w:next w:val="afd"/>
    <w:qFormat/>
    <w:rPr>
      <w:rFonts w:eastAsia="Times New Roman"/>
      <w:b/>
      <w:bCs/>
    </w:rPr>
  </w:style>
  <w:style w:type="paragraph" w:styleId="aff">
    <w:name w:val="Revision"/>
    <w:qFormat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pPr>
      <w:spacing w:before="280" w:after="280"/>
      <w:jc w:val="left"/>
    </w:pPr>
    <w:rPr>
      <w:sz w:val="24"/>
      <w:szCs w:val="24"/>
    </w:rPr>
  </w:style>
  <w:style w:type="paragraph" w:customStyle="1" w:styleId="aff0">
    <w:name w:val="Вміст таблиці"/>
    <w:basedOn w:val="a"/>
    <w:qFormat/>
    <w:pPr>
      <w:suppressLineNumbers/>
    </w:pPr>
  </w:style>
  <w:style w:type="paragraph" w:styleId="aff1">
    <w:name w:val="footnote text"/>
    <w:basedOn w:val="a"/>
    <w:pPr>
      <w:keepNext/>
      <w:keepLines/>
      <w:widowControl w:val="0"/>
    </w:pPr>
    <w:rPr>
      <w:rFonts w:ascii="Arial" w:hAnsi="Arial" w:cs="Calibri"/>
      <w:sz w:val="24"/>
      <w:szCs w:val="22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Онопрійчук Олександр Володимирович</dc:creator>
  <dc:description/>
  <cp:lastModifiedBy>Онопрійчук Олександр Володимирович</cp:lastModifiedBy>
  <cp:revision>4</cp:revision>
  <cp:lastPrinted>2021-03-22T08:00:00Z</cp:lastPrinted>
  <dcterms:created xsi:type="dcterms:W3CDTF">2021-07-23T09:39:00Z</dcterms:created>
  <dcterms:modified xsi:type="dcterms:W3CDTF">2021-07-28T09:27:00Z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Bank of Ukraine</vt:lpwstr>
  </property>
  <property fmtid="{D5CDD505-2E9C-101B-9397-08002B2CF9AE}" pid="4" name="ContentTypeId">
    <vt:lpwstr>0x0101005D38310B097A7C4A8F1284EA8FDC65F7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