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30137" w:rsidRPr="00D30137" w14:paraId="398B8DB9" w14:textId="77777777" w:rsidTr="00602F5C">
        <w:trPr>
          <w:trHeight w:val="567"/>
        </w:trPr>
        <w:tc>
          <w:tcPr>
            <w:tcW w:w="9781" w:type="dxa"/>
          </w:tcPr>
          <w:p w14:paraId="73793056" w14:textId="77777777" w:rsidR="00672E4B" w:rsidRPr="00D30137" w:rsidRDefault="00672E4B" w:rsidP="00602F5C">
            <w:pPr>
              <w:widowControl w:val="0"/>
              <w:jc w:val="center"/>
              <w:rPr>
                <w:b/>
                <w:color w:val="000000" w:themeColor="text1"/>
                <w:lang w:eastAsia="zh-CN"/>
              </w:rPr>
            </w:pPr>
            <w:r w:rsidRPr="00D30137">
              <w:rPr>
                <w:b/>
                <w:color w:val="000000" w:themeColor="text1"/>
                <w:lang w:eastAsia="zh-CN"/>
              </w:rPr>
              <w:t>Аналіз регуляторного впливу</w:t>
            </w:r>
          </w:p>
          <w:p w14:paraId="0B403879" w14:textId="77777777" w:rsidR="00672E4B" w:rsidRPr="00D30137" w:rsidRDefault="00672E4B" w:rsidP="00602F5C">
            <w:pPr>
              <w:jc w:val="center"/>
              <w:rPr>
                <w:b/>
                <w:color w:val="000000" w:themeColor="text1"/>
                <w:lang w:eastAsia="zh-CN"/>
              </w:rPr>
            </w:pPr>
            <w:proofErr w:type="spellStart"/>
            <w:r w:rsidRPr="00D30137">
              <w:rPr>
                <w:b/>
                <w:color w:val="000000" w:themeColor="text1"/>
                <w:lang w:eastAsia="zh-CN"/>
              </w:rPr>
              <w:t>проєкту</w:t>
            </w:r>
            <w:proofErr w:type="spellEnd"/>
            <w:r w:rsidRPr="00D30137">
              <w:rPr>
                <w:b/>
                <w:color w:val="000000" w:themeColor="text1"/>
                <w:lang w:eastAsia="ru-RU"/>
              </w:rPr>
              <w:t xml:space="preserve"> </w:t>
            </w:r>
            <w:bookmarkStart w:id="0" w:name="_Hlk90394091"/>
            <w:r w:rsidRPr="00D30137">
              <w:rPr>
                <w:b/>
                <w:color w:val="000000" w:themeColor="text1"/>
                <w:lang w:eastAsia="zh-CN"/>
              </w:rPr>
              <w:t xml:space="preserve">постанови Правління Національного банку України </w:t>
            </w:r>
          </w:p>
          <w:p w14:paraId="39C33CB8" w14:textId="77777777" w:rsidR="00672E4B" w:rsidRPr="00D30137" w:rsidRDefault="00672E4B" w:rsidP="00602F5C">
            <w:pPr>
              <w:jc w:val="center"/>
              <w:rPr>
                <w:b/>
                <w:color w:val="000000" w:themeColor="text1"/>
                <w:lang w:eastAsia="zh-CN"/>
              </w:rPr>
            </w:pPr>
            <w:r w:rsidRPr="00D30137">
              <w:rPr>
                <w:b/>
                <w:color w:val="000000" w:themeColor="text1"/>
                <w:lang w:eastAsia="zh-CN"/>
              </w:rPr>
              <w:t xml:space="preserve">“Про затвердження </w:t>
            </w:r>
            <w:r w:rsidR="00D30137" w:rsidRPr="00D30137">
              <w:rPr>
                <w:b/>
                <w:color w:val="000000" w:themeColor="text1"/>
                <w:lang w:eastAsia="zh-CN"/>
              </w:rPr>
              <w:t xml:space="preserve">Положення про організацію системи внутрішнього контролю </w:t>
            </w:r>
            <w:r w:rsidR="00D30137" w:rsidRPr="00BC4C7A">
              <w:rPr>
                <w:b/>
                <w:color w:val="000000" w:themeColor="text1"/>
                <w:lang w:eastAsia="zh-CN"/>
              </w:rPr>
              <w:t>в надавачах фінансових</w:t>
            </w:r>
            <w:r w:rsidR="00D30137" w:rsidRPr="00D30137">
              <w:rPr>
                <w:b/>
                <w:color w:val="000000" w:themeColor="text1"/>
                <w:lang w:eastAsia="zh-CN"/>
              </w:rPr>
              <w:t xml:space="preserve"> послуг та небанківських фінансових групах</w:t>
            </w:r>
            <w:r w:rsidRPr="00D30137">
              <w:rPr>
                <w:b/>
                <w:color w:val="000000" w:themeColor="text1"/>
                <w:lang w:eastAsia="zh-CN"/>
              </w:rPr>
              <w:t>”</w:t>
            </w:r>
          </w:p>
          <w:bookmarkEnd w:id="0"/>
          <w:p w14:paraId="11FD329E" w14:textId="77777777" w:rsidR="00672E4B" w:rsidRPr="00D30137" w:rsidRDefault="00672E4B" w:rsidP="00602F5C">
            <w:pPr>
              <w:jc w:val="center"/>
              <w:rPr>
                <w:color w:val="000000" w:themeColor="text1"/>
              </w:rPr>
            </w:pPr>
          </w:p>
        </w:tc>
      </w:tr>
    </w:tbl>
    <w:p w14:paraId="39C8C022" w14:textId="77777777" w:rsidR="00672E4B" w:rsidRPr="00D30137" w:rsidRDefault="00672E4B" w:rsidP="00672E4B">
      <w:pPr>
        <w:widowControl w:val="0"/>
        <w:ind w:firstLine="686"/>
        <w:rPr>
          <w:b/>
          <w:color w:val="000000" w:themeColor="text1"/>
          <w:lang w:eastAsia="zh-CN"/>
        </w:rPr>
      </w:pPr>
      <w:r w:rsidRPr="00D30137">
        <w:rPr>
          <w:b/>
          <w:color w:val="000000" w:themeColor="text1"/>
          <w:lang w:eastAsia="zh-CN"/>
        </w:rPr>
        <w:t>І. Визначення проблеми, яку передбачається розв’язати шляхом державного регулювання</w:t>
      </w:r>
    </w:p>
    <w:p w14:paraId="657FAE98" w14:textId="77777777" w:rsidR="0094475F" w:rsidRPr="00D30137" w:rsidRDefault="0094475F" w:rsidP="0094475F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>Національний банк України (далі – Національний банк) відповідно до пункту 8</w:t>
      </w:r>
      <w:r w:rsidRPr="00D30137">
        <w:rPr>
          <w:rFonts w:eastAsia="Calibri"/>
          <w:color w:val="000000" w:themeColor="text1"/>
          <w:vertAlign w:val="superscript"/>
          <w:lang w:eastAsia="en-US"/>
        </w:rPr>
        <w:t>1</w:t>
      </w:r>
      <w:r w:rsidRPr="00D30137">
        <w:rPr>
          <w:rFonts w:eastAsia="Calibri"/>
          <w:color w:val="000000" w:themeColor="text1"/>
          <w:lang w:eastAsia="en-US"/>
        </w:rPr>
        <w:t xml:space="preserve"> статті 7 розділу І Закону України “Про Національний банк України” (далі – Закон про Національний банк) </w:t>
      </w:r>
      <w:r w:rsidR="00CF07BB" w:rsidRPr="00D30137">
        <w:rPr>
          <w:rFonts w:eastAsia="Calibri"/>
          <w:color w:val="000000" w:themeColor="text1"/>
          <w:lang w:eastAsia="en-US"/>
        </w:rPr>
        <w:t>здійсню</w:t>
      </w:r>
      <w:r w:rsidR="00CF07BB">
        <w:rPr>
          <w:rFonts w:eastAsia="Calibri"/>
          <w:color w:val="000000" w:themeColor="text1"/>
          <w:lang w:eastAsia="en-US"/>
        </w:rPr>
        <w:t>є</w:t>
      </w:r>
      <w:r w:rsidR="00CF07BB"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>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у межах, визначених</w:t>
      </w:r>
      <w:r w:rsidR="008D3D0B"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>Законом України “Про фінансові послуги та державне регулювання ринків фінансових послуг” (далі – Закон про фінансові послуги) та іншими законами України.</w:t>
      </w:r>
    </w:p>
    <w:p w14:paraId="6E59D9AE" w14:textId="77777777" w:rsidR="0094475F" w:rsidRPr="00D30137" w:rsidRDefault="000129AB" w:rsidP="0094475F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У с</w:t>
      </w:r>
      <w:r w:rsidR="0094475F" w:rsidRPr="00D30137">
        <w:rPr>
          <w:rFonts w:eastAsia="Calibri"/>
          <w:color w:val="000000" w:themeColor="text1"/>
          <w:lang w:eastAsia="en-US"/>
        </w:rPr>
        <w:t>татт</w:t>
      </w:r>
      <w:r>
        <w:rPr>
          <w:rFonts w:eastAsia="Calibri"/>
          <w:color w:val="000000" w:themeColor="text1"/>
          <w:lang w:eastAsia="en-US"/>
        </w:rPr>
        <w:t>і</w:t>
      </w:r>
      <w:r w:rsidR="0094475F" w:rsidRPr="00D30137">
        <w:rPr>
          <w:rFonts w:eastAsia="Calibri"/>
          <w:color w:val="000000" w:themeColor="text1"/>
          <w:lang w:eastAsia="en-US"/>
        </w:rPr>
        <w:t xml:space="preserve"> 55</w:t>
      </w:r>
      <w:r w:rsidR="0094475F" w:rsidRPr="00D30137">
        <w:rPr>
          <w:rFonts w:eastAsia="Calibri"/>
          <w:color w:val="000000" w:themeColor="text1"/>
          <w:vertAlign w:val="superscript"/>
          <w:lang w:eastAsia="en-US"/>
        </w:rPr>
        <w:t>1</w:t>
      </w:r>
      <w:r w:rsidR="0094475F" w:rsidRPr="00D30137">
        <w:rPr>
          <w:rFonts w:eastAsia="Calibri"/>
          <w:color w:val="000000" w:themeColor="text1"/>
          <w:lang w:eastAsia="en-US"/>
        </w:rPr>
        <w:t xml:space="preserve"> Закону про Національний банк установлено, що Національний банк здійснює функції державного регулювання та нагляду за діяльністю на ринках небанківських фінансових послуг [крім діяльності на ринках цінних паперів та похідних (деривативів), професійної діяльності на фондовому ринку та діяльності в системі накопичувального пенсійного забезпечення] на індивідуальній та консолідованій основі в межах та порядку, установлених </w:t>
      </w:r>
      <w:r>
        <w:rPr>
          <w:rFonts w:eastAsia="Calibri"/>
          <w:color w:val="000000" w:themeColor="text1"/>
          <w:lang w:eastAsia="en-US"/>
        </w:rPr>
        <w:t xml:space="preserve">цим </w:t>
      </w:r>
      <w:r w:rsidR="0094475F" w:rsidRPr="00D30137">
        <w:rPr>
          <w:rFonts w:eastAsia="Calibri"/>
          <w:color w:val="000000" w:themeColor="text1"/>
          <w:lang w:eastAsia="en-US"/>
        </w:rPr>
        <w:t>Законом, </w:t>
      </w:r>
      <w:hyperlink r:id="rId8" w:tgtFrame="_blank" w:history="1">
        <w:r w:rsidR="0094475F" w:rsidRPr="00D30137">
          <w:rPr>
            <w:rFonts w:eastAsia="Calibri"/>
            <w:color w:val="000000" w:themeColor="text1"/>
            <w:lang w:eastAsia="en-US"/>
          </w:rPr>
          <w:t xml:space="preserve">Законом про фінансові послуги </w:t>
        </w:r>
      </w:hyperlink>
      <w:r w:rsidR="0094475F" w:rsidRPr="00D30137">
        <w:rPr>
          <w:rFonts w:eastAsia="Calibri"/>
          <w:color w:val="000000" w:themeColor="text1"/>
          <w:lang w:eastAsia="en-US"/>
        </w:rPr>
        <w:t>та іншими законами з питань регулювання ринків фінансових послуг.</w:t>
      </w:r>
    </w:p>
    <w:p w14:paraId="0800C799" w14:textId="77777777" w:rsidR="0094475F" w:rsidRPr="00D30137" w:rsidRDefault="0094475F" w:rsidP="00672E4B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 xml:space="preserve">Відповідно до </w:t>
      </w:r>
      <w:r w:rsidR="00740BFE" w:rsidRPr="00D30137">
        <w:rPr>
          <w:rFonts w:eastAsia="Calibri"/>
          <w:color w:val="000000" w:themeColor="text1"/>
          <w:lang w:eastAsia="en-US"/>
        </w:rPr>
        <w:t>пункту 3</w:t>
      </w:r>
      <w:r w:rsidR="00740BFE" w:rsidRPr="00D30137">
        <w:rPr>
          <w:rFonts w:eastAsia="Calibri"/>
          <w:color w:val="000000" w:themeColor="text1"/>
          <w:vertAlign w:val="superscript"/>
          <w:lang w:eastAsia="en-US"/>
        </w:rPr>
        <w:t xml:space="preserve">1 </w:t>
      </w:r>
      <w:r w:rsidR="00740BFE" w:rsidRPr="00D30137">
        <w:rPr>
          <w:rFonts w:eastAsia="Calibri"/>
          <w:color w:val="000000" w:themeColor="text1"/>
          <w:lang w:eastAsia="en-US"/>
        </w:rPr>
        <w:t xml:space="preserve">частини першої статті 28 Закону про фінансові послуги </w:t>
      </w:r>
      <w:r w:rsidR="00C66B2C" w:rsidRPr="00D30137">
        <w:rPr>
          <w:rFonts w:eastAsia="Calibri"/>
          <w:color w:val="000000" w:themeColor="text1"/>
          <w:lang w:eastAsia="en-US"/>
        </w:rPr>
        <w:t xml:space="preserve">Національний банк у сфері державного регулювання ринків небанківських фінансових послуг у межах компетенції, визначеної </w:t>
      </w:r>
      <w:r w:rsidR="007A192E">
        <w:rPr>
          <w:rFonts w:eastAsia="Calibri"/>
          <w:color w:val="000000" w:themeColor="text1"/>
          <w:lang w:eastAsia="en-US"/>
        </w:rPr>
        <w:t xml:space="preserve">у </w:t>
      </w:r>
      <w:r w:rsidR="007A192E" w:rsidRPr="00D30137">
        <w:rPr>
          <w:rFonts w:eastAsia="Calibri"/>
          <w:color w:val="000000" w:themeColor="text1"/>
          <w:lang w:eastAsia="en-US"/>
        </w:rPr>
        <w:t>частин</w:t>
      </w:r>
      <w:r w:rsidR="007A192E">
        <w:rPr>
          <w:rFonts w:eastAsia="Calibri"/>
          <w:color w:val="000000" w:themeColor="text1"/>
          <w:lang w:eastAsia="en-US"/>
        </w:rPr>
        <w:t>і</w:t>
      </w:r>
      <w:r w:rsidR="007A192E" w:rsidRPr="00D30137">
        <w:rPr>
          <w:rFonts w:eastAsia="Calibri"/>
          <w:color w:val="000000" w:themeColor="text1"/>
          <w:lang w:eastAsia="en-US"/>
        </w:rPr>
        <w:t xml:space="preserve"> </w:t>
      </w:r>
      <w:r w:rsidR="006C7A26" w:rsidRPr="00D30137">
        <w:rPr>
          <w:rFonts w:eastAsia="Calibri"/>
          <w:color w:val="000000" w:themeColor="text1"/>
          <w:lang w:eastAsia="en-US"/>
        </w:rPr>
        <w:t>перш</w:t>
      </w:r>
      <w:r w:rsidR="006C7A26">
        <w:rPr>
          <w:rFonts w:eastAsia="Calibri"/>
          <w:color w:val="000000" w:themeColor="text1"/>
          <w:lang w:eastAsia="en-US"/>
        </w:rPr>
        <w:t>ій</w:t>
      </w:r>
      <w:r w:rsidR="006C7A26" w:rsidRPr="00D30137">
        <w:rPr>
          <w:rFonts w:eastAsia="Calibri"/>
          <w:color w:val="000000" w:themeColor="text1"/>
          <w:lang w:eastAsia="en-US"/>
        </w:rPr>
        <w:t xml:space="preserve"> </w:t>
      </w:r>
      <w:r w:rsidR="00C66B2C" w:rsidRPr="00D30137">
        <w:rPr>
          <w:rFonts w:eastAsia="Calibri"/>
          <w:color w:val="000000" w:themeColor="text1"/>
          <w:lang w:eastAsia="en-US"/>
        </w:rPr>
        <w:t xml:space="preserve">статті 21 цього Закону, визначає вимоги до осіб, які мають намір провадити/провадять діяльність з надання фінансових послуг, включаючи вимоги до їх структури власності, системи корпоративного управління, управління ризиками та внутрішнього контролю, умови провадження діяльності з надання фінансових послуг, здійснення яких потребує відповідної ліцензії (ліцензійні умови), та порядок контролю за їх додержанням. </w:t>
      </w:r>
    </w:p>
    <w:p w14:paraId="20F5F4E7" w14:textId="77777777" w:rsidR="00E622FC" w:rsidRPr="00D30137" w:rsidRDefault="00AE5F20" w:rsidP="00672E4B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У ч</w:t>
      </w:r>
      <w:r w:rsidR="000430A4" w:rsidRPr="00D30137">
        <w:rPr>
          <w:rFonts w:eastAsia="Calibri"/>
          <w:color w:val="000000" w:themeColor="text1"/>
          <w:lang w:eastAsia="en-US"/>
        </w:rPr>
        <w:t>астин</w:t>
      </w:r>
      <w:r>
        <w:rPr>
          <w:rFonts w:eastAsia="Calibri"/>
          <w:color w:val="000000" w:themeColor="text1"/>
          <w:lang w:eastAsia="en-US"/>
        </w:rPr>
        <w:t>і</w:t>
      </w:r>
      <w:r w:rsidR="000430A4"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>четверт</w:t>
      </w:r>
      <w:r>
        <w:rPr>
          <w:rFonts w:eastAsia="Calibri"/>
          <w:color w:val="000000" w:themeColor="text1"/>
          <w:lang w:eastAsia="en-US"/>
        </w:rPr>
        <w:t>ій</w:t>
      </w:r>
      <w:r w:rsidRPr="00D30137">
        <w:rPr>
          <w:rFonts w:eastAsia="Calibri"/>
          <w:color w:val="000000" w:themeColor="text1"/>
          <w:lang w:eastAsia="en-US"/>
        </w:rPr>
        <w:t xml:space="preserve"> </w:t>
      </w:r>
      <w:r w:rsidR="000430A4" w:rsidRPr="00D30137">
        <w:rPr>
          <w:rFonts w:eastAsia="Calibri"/>
          <w:color w:val="000000" w:themeColor="text1"/>
          <w:lang w:eastAsia="en-US"/>
        </w:rPr>
        <w:t>статті 15</w:t>
      </w:r>
      <w:r w:rsidR="000430A4" w:rsidRPr="00D30137">
        <w:rPr>
          <w:rFonts w:eastAsia="Calibri"/>
          <w:color w:val="000000" w:themeColor="text1"/>
          <w:vertAlign w:val="superscript"/>
          <w:lang w:eastAsia="en-US"/>
        </w:rPr>
        <w:t>1</w:t>
      </w:r>
      <w:r w:rsidR="000430A4" w:rsidRPr="00D30137">
        <w:rPr>
          <w:rFonts w:eastAsia="Calibri"/>
          <w:color w:val="000000" w:themeColor="text1"/>
          <w:lang w:eastAsia="en-US"/>
        </w:rPr>
        <w:t xml:space="preserve"> Закону про фінансові послуги встановлено</w:t>
      </w:r>
      <w:r w:rsidR="00F33237" w:rsidRPr="00D30137">
        <w:rPr>
          <w:rFonts w:eastAsia="Calibri"/>
          <w:color w:val="000000" w:themeColor="text1"/>
          <w:lang w:eastAsia="en-US"/>
        </w:rPr>
        <w:t>, що законодавством з питань регулювання окремих ринків фінансових послуг можуть бути встановлені особливості організації та проведення внутрішнього аудиту (контролю).</w:t>
      </w:r>
    </w:p>
    <w:p w14:paraId="16C0FDDD" w14:textId="77777777" w:rsidR="00F33237" w:rsidRPr="00D30137" w:rsidRDefault="00F33237" w:rsidP="00607D37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 xml:space="preserve">Також </w:t>
      </w:r>
      <w:r w:rsidR="00A62186">
        <w:rPr>
          <w:rFonts w:eastAsia="Calibri"/>
          <w:color w:val="000000" w:themeColor="text1"/>
          <w:lang w:eastAsia="en-US"/>
        </w:rPr>
        <w:t xml:space="preserve">у </w:t>
      </w:r>
      <w:r w:rsidR="00A62186" w:rsidRPr="00D30137">
        <w:rPr>
          <w:rFonts w:eastAsia="Calibri"/>
          <w:color w:val="000000" w:themeColor="text1"/>
          <w:lang w:eastAsia="en-US"/>
        </w:rPr>
        <w:t>пункт</w:t>
      </w:r>
      <w:r w:rsidR="00A62186">
        <w:rPr>
          <w:rFonts w:eastAsia="Calibri"/>
          <w:color w:val="000000" w:themeColor="text1"/>
          <w:lang w:eastAsia="en-US"/>
        </w:rPr>
        <w:t>і</w:t>
      </w:r>
      <w:r w:rsidR="00A62186"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>3 частини четвертої статті 16</w:t>
      </w:r>
      <w:r w:rsidRPr="00D30137">
        <w:rPr>
          <w:rFonts w:eastAsia="Calibri"/>
          <w:color w:val="000000" w:themeColor="text1"/>
          <w:vertAlign w:val="superscript"/>
          <w:lang w:eastAsia="en-US"/>
        </w:rPr>
        <w:t>1</w:t>
      </w:r>
      <w:r w:rsidRPr="00D30137">
        <w:rPr>
          <w:rFonts w:eastAsia="Calibri"/>
          <w:color w:val="000000" w:themeColor="text1"/>
          <w:lang w:eastAsia="en-US"/>
        </w:rPr>
        <w:t xml:space="preserve"> Закону про фінансові послуги передбачено, що </w:t>
      </w:r>
      <w:r w:rsidR="00D90BC7" w:rsidRPr="00D30137">
        <w:rPr>
          <w:rFonts w:eastAsia="Calibri"/>
          <w:color w:val="000000" w:themeColor="text1"/>
          <w:lang w:eastAsia="en-US"/>
        </w:rPr>
        <w:t>о</w:t>
      </w:r>
      <w:r w:rsidR="00607D37" w:rsidRPr="00D30137">
        <w:rPr>
          <w:rFonts w:eastAsia="Calibri"/>
          <w:color w:val="000000" w:themeColor="text1"/>
          <w:lang w:eastAsia="en-US"/>
        </w:rPr>
        <w:t xml:space="preserve">рган, який здійснює державне регулювання ринків фінансових послуг, відповідно до розподілу повноважень, передбаченого частиною другою цієї статті, з метою здійснення нагляду на консолідованій та </w:t>
      </w:r>
      <w:proofErr w:type="spellStart"/>
      <w:r w:rsidR="00607D37" w:rsidRPr="00D30137">
        <w:rPr>
          <w:rFonts w:eastAsia="Calibri"/>
          <w:color w:val="000000" w:themeColor="text1"/>
          <w:lang w:eastAsia="en-US"/>
        </w:rPr>
        <w:t>субконсолідованій</w:t>
      </w:r>
      <w:proofErr w:type="spellEnd"/>
      <w:r w:rsidR="00607D37" w:rsidRPr="00D30137">
        <w:rPr>
          <w:rFonts w:eastAsia="Calibri"/>
          <w:color w:val="000000" w:themeColor="text1"/>
          <w:lang w:eastAsia="en-US"/>
        </w:rPr>
        <w:t xml:space="preserve"> основі у своїх нормативно-правових актах має право встановлювати вимоги до фінансової групи, її підгруп, зокрема, щодо наявності ефективної системи внутрішнього контролю.</w:t>
      </w:r>
    </w:p>
    <w:p w14:paraId="04D7C6C1" w14:textId="77777777" w:rsidR="00C66B2C" w:rsidRPr="00D30137" w:rsidRDefault="006B1071" w:rsidP="00672E4B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К</w:t>
      </w:r>
      <w:r w:rsidR="00E622FC" w:rsidRPr="00D30137">
        <w:rPr>
          <w:rFonts w:eastAsia="Calibri"/>
          <w:color w:val="000000" w:themeColor="text1"/>
          <w:lang w:eastAsia="en-US"/>
        </w:rPr>
        <w:t xml:space="preserve">рім </w:t>
      </w:r>
      <w:r>
        <w:rPr>
          <w:rFonts w:eastAsia="Calibri"/>
          <w:color w:val="000000" w:themeColor="text1"/>
          <w:lang w:eastAsia="en-US"/>
        </w:rPr>
        <w:t>т</w:t>
      </w:r>
      <w:r w:rsidRPr="00D30137">
        <w:rPr>
          <w:rFonts w:eastAsia="Calibri"/>
          <w:color w:val="000000" w:themeColor="text1"/>
          <w:lang w:eastAsia="en-US"/>
        </w:rPr>
        <w:t>ого</w:t>
      </w:r>
      <w:r w:rsidR="00E622FC" w:rsidRPr="00D30137">
        <w:rPr>
          <w:rFonts w:eastAsia="Calibri"/>
          <w:color w:val="000000" w:themeColor="text1"/>
          <w:lang w:eastAsia="en-US"/>
        </w:rPr>
        <w:t xml:space="preserve">, згідно з частиною третьою статті 29 Закону про фінансові </w:t>
      </w:r>
      <w:r w:rsidR="00E622FC" w:rsidRPr="00D30137">
        <w:rPr>
          <w:rFonts w:eastAsia="Calibri"/>
          <w:color w:val="000000" w:themeColor="text1"/>
          <w:lang w:eastAsia="en-US"/>
        </w:rPr>
        <w:lastRenderedPageBreak/>
        <w:t>послуги основними напрямами нагляду Національного банку у сфері державного регулювання ринків небанківських фінансових послуг є регулярне проведення оцінки загального фінансового стану небанківської фінансової установи, результатів її діяльності та якості корпоративного управління, системи внутрішнього аудиту (контролю) та управління ризиками, дотримання обов’язкових нормативів та інших показників і вимог, що обмежують ризики за операціями з фінансовими активами.</w:t>
      </w:r>
    </w:p>
    <w:p w14:paraId="64F087D1" w14:textId="77777777" w:rsidR="00607D37" w:rsidRPr="00D30137" w:rsidRDefault="00607D37" w:rsidP="00607D37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 w:rsidRPr="00D30137">
        <w:rPr>
          <w:color w:val="000000" w:themeColor="text1"/>
        </w:rPr>
        <w:t xml:space="preserve">Водночас </w:t>
      </w:r>
      <w:r w:rsidR="00FA6CA6">
        <w:rPr>
          <w:color w:val="000000" w:themeColor="text1"/>
        </w:rPr>
        <w:t xml:space="preserve">у </w:t>
      </w:r>
      <w:r w:rsidR="00FA6CA6" w:rsidRPr="00D30137">
        <w:rPr>
          <w:color w:val="000000" w:themeColor="text1"/>
        </w:rPr>
        <w:t>частин</w:t>
      </w:r>
      <w:r w:rsidR="00FA6CA6">
        <w:rPr>
          <w:color w:val="000000" w:themeColor="text1"/>
        </w:rPr>
        <w:t>і</w:t>
      </w:r>
      <w:r w:rsidR="00FA6CA6" w:rsidRPr="00D30137">
        <w:rPr>
          <w:color w:val="000000" w:themeColor="text1"/>
        </w:rPr>
        <w:t xml:space="preserve"> друг</w:t>
      </w:r>
      <w:r w:rsidR="00FA6CA6">
        <w:rPr>
          <w:color w:val="000000" w:themeColor="text1"/>
        </w:rPr>
        <w:t>ій</w:t>
      </w:r>
      <w:r w:rsidR="00FA6CA6" w:rsidRPr="00D30137">
        <w:rPr>
          <w:color w:val="000000" w:themeColor="text1"/>
        </w:rPr>
        <w:t xml:space="preserve"> </w:t>
      </w:r>
      <w:r w:rsidRPr="00D30137">
        <w:rPr>
          <w:color w:val="000000" w:themeColor="text1"/>
        </w:rPr>
        <w:t>статті 19 Закону України “Про платіжні послуги” (далі – Закон про платіжні послуги) передбачено, що банки та фінансові установи, що мають право на надання платіжних послуг, зобов’язані проводити внутрішній аудит (контроль) своєї діяльності з надання платіжних послуг відповідно до Закону про фінансові послуги.</w:t>
      </w:r>
    </w:p>
    <w:p w14:paraId="7A97557B" w14:textId="77777777" w:rsidR="008068D5" w:rsidRPr="00D30137" w:rsidRDefault="001F00C7" w:rsidP="008068D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>Згідно з пунктом 14 розділу ІІ “Прикінцеві положення” Закону України від 12 вересня 2019</w:t>
      </w:r>
      <w:r w:rsidR="0028366A"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>року № 79-IX “Про внесення змін до деяких законодавчих актів України щодо удосконалення функцій із державного регулювання ринків фінансових послуг” (далі – Закон № 79)</w:t>
      </w:r>
      <w:r w:rsidRPr="00D30137" w:rsidDel="005100A0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 xml:space="preserve">Національний банк </w:t>
      </w:r>
      <w:r w:rsidR="0028366A" w:rsidRPr="00D30137">
        <w:rPr>
          <w:rFonts w:eastAsia="Calibri"/>
          <w:color w:val="000000" w:themeColor="text1"/>
          <w:lang w:eastAsia="en-US"/>
        </w:rPr>
        <w:t>зобов’язаний забезпечити прийняття актів, необхідних для реалізації цього Закону; привести свої нормативно-правові акти у відповідність із цим Законом.</w:t>
      </w:r>
      <w:r w:rsidRPr="00D30137">
        <w:rPr>
          <w:rFonts w:eastAsia="Calibri"/>
          <w:color w:val="000000" w:themeColor="text1"/>
          <w:lang w:eastAsia="en-US"/>
        </w:rPr>
        <w:t xml:space="preserve"> </w:t>
      </w:r>
    </w:p>
    <w:p w14:paraId="1AB759DB" w14:textId="77777777" w:rsidR="00E824DF" w:rsidRPr="00D30137" w:rsidRDefault="0028366A" w:rsidP="00E824DF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 xml:space="preserve">У відповідній сфері правового регулювання є </w:t>
      </w:r>
      <w:r w:rsidR="005F4AA2" w:rsidRPr="00D30137">
        <w:rPr>
          <w:rFonts w:eastAsia="Calibri"/>
          <w:color w:val="000000" w:themeColor="text1"/>
          <w:lang w:eastAsia="en-US"/>
        </w:rPr>
        <w:t>чинни</w:t>
      </w:r>
      <w:r w:rsidR="005F4AA2">
        <w:rPr>
          <w:rFonts w:eastAsia="Calibri"/>
          <w:color w:val="000000" w:themeColor="text1"/>
          <w:lang w:eastAsia="en-US"/>
        </w:rPr>
        <w:t>й</w:t>
      </w:r>
      <w:r w:rsidR="005F4AA2" w:rsidRPr="00D30137">
        <w:rPr>
          <w:rFonts w:eastAsia="Calibri"/>
          <w:color w:val="000000" w:themeColor="text1"/>
          <w:lang w:eastAsia="en-US"/>
        </w:rPr>
        <w:t xml:space="preserve"> </w:t>
      </w:r>
      <w:r w:rsidR="008A41D5" w:rsidRPr="00D30137">
        <w:rPr>
          <w:rFonts w:eastAsia="Calibri"/>
          <w:color w:val="000000" w:themeColor="text1"/>
          <w:lang w:eastAsia="en-US"/>
        </w:rPr>
        <w:t>Порядок проведення внутрішнього аудиту (контролю) у фінансових установах, затверджений розпорядженням Національної комісії, що</w:t>
      </w:r>
      <w:r w:rsidR="006C7A26" w:rsidRPr="00D30137">
        <w:rPr>
          <w:rFonts w:eastAsia="Calibri"/>
          <w:color w:val="000000" w:themeColor="text1"/>
          <w:lang w:eastAsia="en-US"/>
        </w:rPr>
        <w:t xml:space="preserve"> </w:t>
      </w:r>
      <w:r w:rsidR="008A41D5" w:rsidRPr="00D30137">
        <w:rPr>
          <w:rFonts w:eastAsia="Calibri"/>
          <w:color w:val="000000" w:themeColor="text1"/>
          <w:lang w:eastAsia="en-US"/>
        </w:rPr>
        <w:t xml:space="preserve">здійснює державне регулювання у сфері ринків фінансових послуг, від </w:t>
      </w:r>
      <w:r w:rsidR="008068D5" w:rsidRPr="00D30137">
        <w:rPr>
          <w:rFonts w:eastAsia="Calibri"/>
          <w:color w:val="000000" w:themeColor="text1"/>
          <w:lang w:eastAsia="en-US"/>
        </w:rPr>
        <w:t>05 червня 2014 року № 1772</w:t>
      </w:r>
      <w:r w:rsidR="008D3D0B" w:rsidRPr="00D30137">
        <w:rPr>
          <w:rFonts w:eastAsia="Calibri"/>
          <w:color w:val="000000" w:themeColor="text1"/>
          <w:lang w:eastAsia="en-US"/>
        </w:rPr>
        <w:t xml:space="preserve"> (далі </w:t>
      </w:r>
      <w:r w:rsidR="005F4AA2" w:rsidRPr="00D30137">
        <w:rPr>
          <w:rFonts w:eastAsia="Calibri"/>
          <w:color w:val="000000" w:themeColor="text1"/>
          <w:lang w:eastAsia="en-US"/>
        </w:rPr>
        <w:t>–</w:t>
      </w:r>
      <w:r w:rsidR="008D3D0B" w:rsidRPr="00D30137">
        <w:rPr>
          <w:rFonts w:eastAsia="Calibri"/>
          <w:color w:val="000000" w:themeColor="text1"/>
          <w:lang w:eastAsia="en-US"/>
        </w:rPr>
        <w:t xml:space="preserve"> Порядок)</w:t>
      </w:r>
      <w:r w:rsidR="00562C9E" w:rsidRPr="00D30137">
        <w:rPr>
          <w:rFonts w:eastAsia="Calibri"/>
          <w:color w:val="000000" w:themeColor="text1"/>
          <w:lang w:eastAsia="en-US"/>
        </w:rPr>
        <w:t xml:space="preserve">. </w:t>
      </w:r>
      <w:r w:rsidR="008D3D0B" w:rsidRPr="00D30137">
        <w:rPr>
          <w:rFonts w:eastAsia="Calibri"/>
          <w:color w:val="000000" w:themeColor="text1"/>
          <w:lang w:eastAsia="en-US"/>
        </w:rPr>
        <w:t>П</w:t>
      </w:r>
      <w:r w:rsidR="00CD0658" w:rsidRPr="00D30137">
        <w:rPr>
          <w:rFonts w:eastAsia="Calibri"/>
          <w:color w:val="000000" w:themeColor="text1"/>
          <w:lang w:eastAsia="en-US"/>
        </w:rPr>
        <w:t>орядок регламентує особливості організації та проведення внутрішнього аудиту (контролю)</w:t>
      </w:r>
      <w:r w:rsidR="008D3D0B" w:rsidRPr="00D30137">
        <w:rPr>
          <w:rFonts w:eastAsia="Calibri"/>
          <w:color w:val="000000" w:themeColor="text1"/>
          <w:lang w:eastAsia="en-US"/>
        </w:rPr>
        <w:t>, що є лише одним зі складових елементів системи внутрішнього контролю.</w:t>
      </w:r>
      <w:r w:rsidR="00D90BC7" w:rsidRPr="00D30137">
        <w:rPr>
          <w:rFonts w:eastAsia="Calibri"/>
          <w:color w:val="000000" w:themeColor="text1"/>
          <w:lang w:eastAsia="en-US"/>
        </w:rPr>
        <w:t xml:space="preserve"> </w:t>
      </w:r>
      <w:r w:rsidR="004C18FF">
        <w:rPr>
          <w:rFonts w:eastAsia="Calibri"/>
          <w:color w:val="000000" w:themeColor="text1"/>
          <w:lang w:eastAsia="en-US"/>
        </w:rPr>
        <w:t>Водночас</w:t>
      </w:r>
      <w:r w:rsidR="008D3D0B" w:rsidRPr="00D30137">
        <w:rPr>
          <w:rFonts w:eastAsia="Calibri"/>
          <w:color w:val="000000" w:themeColor="text1"/>
          <w:lang w:eastAsia="en-US"/>
        </w:rPr>
        <w:t xml:space="preserve"> Порядок</w:t>
      </w:r>
      <w:r w:rsidR="00D90BC7" w:rsidRPr="00D30137">
        <w:rPr>
          <w:rFonts w:eastAsia="Calibri"/>
          <w:color w:val="000000" w:themeColor="text1"/>
          <w:lang w:eastAsia="en-US"/>
        </w:rPr>
        <w:t xml:space="preserve"> не встановлює вимог до</w:t>
      </w:r>
      <w:r w:rsidR="00E824DF" w:rsidRPr="00D30137">
        <w:rPr>
          <w:rFonts w:eastAsia="Calibri"/>
          <w:color w:val="000000" w:themeColor="text1"/>
          <w:lang w:eastAsia="en-US"/>
        </w:rPr>
        <w:t xml:space="preserve"> основних</w:t>
      </w:r>
      <w:r w:rsidR="00D90BC7" w:rsidRPr="00D30137">
        <w:rPr>
          <w:rFonts w:eastAsia="Calibri"/>
          <w:color w:val="000000" w:themeColor="text1"/>
          <w:lang w:eastAsia="en-US"/>
        </w:rPr>
        <w:t xml:space="preserve"> </w:t>
      </w:r>
      <w:r w:rsidR="008D3D0B" w:rsidRPr="00D30137">
        <w:rPr>
          <w:rFonts w:eastAsia="Calibri"/>
          <w:color w:val="000000" w:themeColor="text1"/>
          <w:lang w:eastAsia="en-US"/>
        </w:rPr>
        <w:t xml:space="preserve">засад </w:t>
      </w:r>
      <w:r w:rsidR="00D90BC7" w:rsidRPr="00D30137">
        <w:rPr>
          <w:rFonts w:eastAsia="Calibri"/>
          <w:color w:val="000000" w:themeColor="text1"/>
          <w:lang w:eastAsia="en-US"/>
        </w:rPr>
        <w:t>організації</w:t>
      </w:r>
      <w:r w:rsidR="008D3D0B" w:rsidRPr="00D30137">
        <w:rPr>
          <w:rFonts w:eastAsia="Calibri"/>
          <w:color w:val="000000" w:themeColor="text1"/>
          <w:lang w:eastAsia="en-US"/>
        </w:rPr>
        <w:t xml:space="preserve"> та функціонування якісної та ефективної</w:t>
      </w:r>
      <w:r w:rsidR="00D90BC7" w:rsidRPr="00D30137">
        <w:rPr>
          <w:rFonts w:eastAsia="Calibri"/>
          <w:color w:val="000000" w:themeColor="text1"/>
          <w:lang w:eastAsia="en-US"/>
        </w:rPr>
        <w:t xml:space="preserve"> системи внутрішнього </w:t>
      </w:r>
      <w:r w:rsidR="00D90BC7" w:rsidRPr="00711E53">
        <w:rPr>
          <w:rFonts w:eastAsia="Calibri"/>
          <w:color w:val="000000" w:themeColor="text1"/>
          <w:lang w:eastAsia="en-US"/>
        </w:rPr>
        <w:t xml:space="preserve">контролю в </w:t>
      </w:r>
      <w:r w:rsidR="004B21C6" w:rsidRPr="00711E53">
        <w:rPr>
          <w:rFonts w:eastAsia="Calibri"/>
          <w:color w:val="000000" w:themeColor="text1"/>
          <w:lang w:eastAsia="en-US"/>
        </w:rPr>
        <w:t>надавачах фінансових</w:t>
      </w:r>
      <w:r w:rsidR="004B21C6" w:rsidRPr="00D30137">
        <w:rPr>
          <w:rFonts w:eastAsia="Calibri"/>
          <w:color w:val="000000" w:themeColor="text1"/>
          <w:lang w:eastAsia="en-US"/>
        </w:rPr>
        <w:t xml:space="preserve"> послуг та небанківських фінансових групах, </w:t>
      </w:r>
      <w:r w:rsidR="00E824DF" w:rsidRPr="00D30137">
        <w:rPr>
          <w:rFonts w:eastAsia="Calibri"/>
          <w:color w:val="000000" w:themeColor="text1"/>
          <w:lang w:eastAsia="en-US"/>
        </w:rPr>
        <w:t xml:space="preserve">державне регулювання та нагляд за діяльністю яких здійснює </w:t>
      </w:r>
      <w:r w:rsidR="003F740E" w:rsidRPr="00D30137">
        <w:rPr>
          <w:rFonts w:eastAsia="Calibri"/>
          <w:color w:val="000000" w:themeColor="text1"/>
          <w:lang w:eastAsia="en-US"/>
        </w:rPr>
        <w:t>Національни</w:t>
      </w:r>
      <w:r w:rsidR="003F740E">
        <w:rPr>
          <w:rFonts w:eastAsia="Calibri"/>
          <w:color w:val="000000" w:themeColor="text1"/>
          <w:lang w:eastAsia="en-US"/>
        </w:rPr>
        <w:t>й</w:t>
      </w:r>
      <w:r w:rsidR="003F740E" w:rsidRPr="00D30137">
        <w:rPr>
          <w:rFonts w:eastAsia="Calibri"/>
          <w:color w:val="000000" w:themeColor="text1"/>
          <w:lang w:eastAsia="en-US"/>
        </w:rPr>
        <w:t xml:space="preserve"> </w:t>
      </w:r>
      <w:r w:rsidR="00E824DF" w:rsidRPr="00D30137">
        <w:rPr>
          <w:rFonts w:eastAsia="Calibri"/>
          <w:color w:val="000000" w:themeColor="text1"/>
          <w:lang w:eastAsia="en-US"/>
        </w:rPr>
        <w:t>банк</w:t>
      </w:r>
      <w:r w:rsidR="008D3D0B" w:rsidRPr="00D30137">
        <w:rPr>
          <w:rFonts w:eastAsia="Calibri"/>
          <w:color w:val="000000" w:themeColor="text1"/>
          <w:lang w:eastAsia="en-US"/>
        </w:rPr>
        <w:t>, не визначає заходів, виконання яких може свідчити про впровадження якісної та ефективної системи внутрішнього контролю</w:t>
      </w:r>
      <w:r w:rsidR="00E824DF" w:rsidRPr="00D30137">
        <w:rPr>
          <w:rFonts w:eastAsia="Calibri"/>
          <w:color w:val="000000" w:themeColor="text1"/>
          <w:lang w:eastAsia="en-US"/>
        </w:rPr>
        <w:t xml:space="preserve">, що суттєво ускладнює здійснення нагляду за якістю систем внутрішнього </w:t>
      </w:r>
      <w:r w:rsidR="00E824DF" w:rsidRPr="00711E53">
        <w:rPr>
          <w:rFonts w:eastAsia="Calibri"/>
          <w:color w:val="000000" w:themeColor="text1"/>
          <w:lang w:eastAsia="en-US"/>
        </w:rPr>
        <w:t xml:space="preserve">контролю </w:t>
      </w:r>
      <w:r w:rsidR="00FF3BF0" w:rsidRPr="00711E53">
        <w:rPr>
          <w:rFonts w:eastAsia="Calibri"/>
          <w:color w:val="000000" w:themeColor="text1"/>
          <w:lang w:eastAsia="en-US"/>
        </w:rPr>
        <w:t>в надавачах фінансових</w:t>
      </w:r>
      <w:r w:rsidR="00FF3BF0" w:rsidRPr="00D30137">
        <w:rPr>
          <w:rFonts w:eastAsia="Calibri"/>
          <w:color w:val="000000" w:themeColor="text1"/>
          <w:lang w:eastAsia="en-US"/>
        </w:rPr>
        <w:t xml:space="preserve"> послуг та небанківських фінансових групах, державне регулювання та нагляд за діяльністю яких здійснює </w:t>
      </w:r>
      <w:r w:rsidR="00452C0D" w:rsidRPr="00D30137">
        <w:rPr>
          <w:rFonts w:eastAsia="Calibri"/>
          <w:color w:val="000000" w:themeColor="text1"/>
          <w:lang w:eastAsia="en-US"/>
        </w:rPr>
        <w:t>Національни</w:t>
      </w:r>
      <w:r w:rsidR="00452C0D">
        <w:rPr>
          <w:rFonts w:eastAsia="Calibri"/>
          <w:color w:val="000000" w:themeColor="text1"/>
          <w:lang w:eastAsia="en-US"/>
        </w:rPr>
        <w:t>й</w:t>
      </w:r>
      <w:r w:rsidR="00452C0D" w:rsidRPr="00D30137">
        <w:rPr>
          <w:rFonts w:eastAsia="Calibri"/>
          <w:color w:val="000000" w:themeColor="text1"/>
          <w:lang w:eastAsia="en-US"/>
        </w:rPr>
        <w:t xml:space="preserve"> </w:t>
      </w:r>
      <w:r w:rsidR="00FF3BF0" w:rsidRPr="00D30137">
        <w:rPr>
          <w:rFonts w:eastAsia="Calibri"/>
          <w:color w:val="000000" w:themeColor="text1"/>
          <w:lang w:eastAsia="en-US"/>
        </w:rPr>
        <w:t>банк.</w:t>
      </w:r>
    </w:p>
    <w:p w14:paraId="06FED7F1" w14:textId="77777777" w:rsidR="0028366A" w:rsidRPr="00D30137" w:rsidRDefault="00682CDC" w:rsidP="00562C9E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К</w:t>
      </w:r>
      <w:r w:rsidR="00562C9E" w:rsidRPr="00D30137">
        <w:rPr>
          <w:rFonts w:eastAsia="Calibri"/>
          <w:color w:val="000000" w:themeColor="text1"/>
          <w:lang w:eastAsia="en-US"/>
        </w:rPr>
        <w:t xml:space="preserve">рім </w:t>
      </w:r>
      <w:r>
        <w:rPr>
          <w:rFonts w:eastAsia="Calibri"/>
          <w:color w:val="000000" w:themeColor="text1"/>
          <w:lang w:eastAsia="en-US"/>
        </w:rPr>
        <w:t>т</w:t>
      </w:r>
      <w:r w:rsidRPr="00D30137">
        <w:rPr>
          <w:rFonts w:eastAsia="Calibri"/>
          <w:color w:val="000000" w:themeColor="text1"/>
          <w:lang w:eastAsia="en-US"/>
        </w:rPr>
        <w:t>ого</w:t>
      </w:r>
      <w:r w:rsidR="00562C9E" w:rsidRPr="00D30137">
        <w:rPr>
          <w:rFonts w:eastAsia="Calibri"/>
          <w:color w:val="000000" w:themeColor="text1"/>
          <w:lang w:eastAsia="en-US"/>
        </w:rPr>
        <w:t>, чинними залишаються М</w:t>
      </w:r>
      <w:r w:rsidR="008A41D5" w:rsidRPr="00D30137">
        <w:rPr>
          <w:rFonts w:eastAsia="Calibri"/>
          <w:color w:val="000000" w:themeColor="text1"/>
          <w:lang w:eastAsia="en-US"/>
        </w:rPr>
        <w:t>етодичні рекомендації щодо системи управління та розкриття інформації фінансовими установами</w:t>
      </w:r>
      <w:r w:rsidR="00562C9E" w:rsidRPr="00D30137">
        <w:rPr>
          <w:rFonts w:eastAsia="Calibri"/>
          <w:color w:val="000000" w:themeColor="text1"/>
          <w:lang w:eastAsia="en-US"/>
        </w:rPr>
        <w:t>, затверджені розпорядженням Державної комісії з регулювання ринків фінансових послуг України від 27 грудня 2005 року № 5207, а також</w:t>
      </w:r>
      <w:r w:rsidR="008A41D5" w:rsidRPr="00D30137">
        <w:rPr>
          <w:rFonts w:eastAsia="Calibri"/>
          <w:color w:val="000000" w:themeColor="text1"/>
          <w:lang w:eastAsia="en-US"/>
        </w:rPr>
        <w:t xml:space="preserve"> Методичні рекомендації щодо проведення внутрішнього аудиту фінансових установ</w:t>
      </w:r>
      <w:r w:rsidR="00562C9E" w:rsidRPr="00D30137">
        <w:rPr>
          <w:rFonts w:eastAsia="Calibri"/>
          <w:color w:val="000000" w:themeColor="text1"/>
          <w:lang w:eastAsia="en-US"/>
        </w:rPr>
        <w:t>, затверджені розпорядженням Державної комісії з регулювання ринків фінансових послуг України від</w:t>
      </w:r>
      <w:r w:rsidR="00CD0658" w:rsidRPr="00D30137">
        <w:rPr>
          <w:rFonts w:eastAsia="Calibri"/>
          <w:color w:val="000000" w:themeColor="text1"/>
          <w:lang w:eastAsia="en-US"/>
        </w:rPr>
        <w:t xml:space="preserve"> 29 вересня 2005 року № 4660</w:t>
      </w:r>
      <w:r w:rsidR="009B765B" w:rsidRPr="00D30137">
        <w:rPr>
          <w:rFonts w:eastAsia="Calibri"/>
          <w:color w:val="000000" w:themeColor="text1"/>
          <w:lang w:eastAsia="en-US"/>
        </w:rPr>
        <w:t>.</w:t>
      </w:r>
      <w:r w:rsidR="00FF3BF0" w:rsidRPr="00D30137">
        <w:rPr>
          <w:rFonts w:eastAsia="Calibri"/>
          <w:color w:val="000000" w:themeColor="text1"/>
          <w:lang w:eastAsia="en-US"/>
        </w:rPr>
        <w:t xml:space="preserve"> Водночас </w:t>
      </w:r>
      <w:r w:rsidR="00870BAB">
        <w:rPr>
          <w:rFonts w:eastAsia="Calibri"/>
          <w:color w:val="000000" w:themeColor="text1"/>
          <w:lang w:eastAsia="en-US"/>
        </w:rPr>
        <w:t>ці</w:t>
      </w:r>
      <w:r w:rsidR="00FF3BF0" w:rsidRPr="00D30137">
        <w:rPr>
          <w:rFonts w:eastAsia="Calibri"/>
          <w:color w:val="000000" w:themeColor="text1"/>
          <w:lang w:eastAsia="en-US"/>
        </w:rPr>
        <w:t xml:space="preserve"> рекомендації не мають обов’язкового характеру, є </w:t>
      </w:r>
      <w:r w:rsidR="00FF3BF0" w:rsidRPr="003E6573">
        <w:rPr>
          <w:rFonts w:eastAsia="Calibri"/>
          <w:color w:val="000000" w:themeColor="text1"/>
          <w:lang w:eastAsia="en-US"/>
        </w:rPr>
        <w:t>точковими</w:t>
      </w:r>
      <w:r w:rsidR="00FF3BF0" w:rsidRPr="00D30137">
        <w:rPr>
          <w:rFonts w:eastAsia="Calibri"/>
          <w:color w:val="000000" w:themeColor="text1"/>
          <w:lang w:eastAsia="en-US"/>
        </w:rPr>
        <w:t xml:space="preserve"> та не </w:t>
      </w:r>
      <w:r w:rsidR="00AF7012" w:rsidRPr="00D30137">
        <w:rPr>
          <w:rFonts w:eastAsia="Calibri"/>
          <w:color w:val="000000" w:themeColor="text1"/>
          <w:lang w:eastAsia="en-US"/>
        </w:rPr>
        <w:t>повн</w:t>
      </w:r>
      <w:r w:rsidR="00AF7012">
        <w:rPr>
          <w:rFonts w:eastAsia="Calibri"/>
          <w:color w:val="000000" w:themeColor="text1"/>
          <w:lang w:eastAsia="en-US"/>
        </w:rPr>
        <w:t>ою</w:t>
      </w:r>
      <w:r w:rsidR="00AF7012" w:rsidRPr="00D30137">
        <w:rPr>
          <w:rFonts w:eastAsia="Calibri"/>
          <w:color w:val="000000" w:themeColor="text1"/>
          <w:lang w:eastAsia="en-US"/>
        </w:rPr>
        <w:t xml:space="preserve"> мір</w:t>
      </w:r>
      <w:r w:rsidR="00AF7012">
        <w:rPr>
          <w:rFonts w:eastAsia="Calibri"/>
          <w:color w:val="000000" w:themeColor="text1"/>
          <w:lang w:eastAsia="en-US"/>
        </w:rPr>
        <w:t>ою</w:t>
      </w:r>
      <w:r w:rsidR="00AF7012" w:rsidRPr="00D30137">
        <w:rPr>
          <w:rFonts w:eastAsia="Calibri"/>
          <w:color w:val="000000" w:themeColor="text1"/>
          <w:lang w:eastAsia="en-US"/>
        </w:rPr>
        <w:t xml:space="preserve"> </w:t>
      </w:r>
      <w:r w:rsidR="00FF3BF0" w:rsidRPr="00D30137">
        <w:rPr>
          <w:rFonts w:eastAsia="Calibri"/>
          <w:color w:val="000000" w:themeColor="text1"/>
          <w:lang w:eastAsia="en-US"/>
        </w:rPr>
        <w:t>враховують чинні вимоги законодавства України</w:t>
      </w:r>
      <w:r w:rsidR="00D30137" w:rsidRPr="00D30137">
        <w:rPr>
          <w:rFonts w:eastAsia="Calibri"/>
          <w:color w:val="000000" w:themeColor="text1"/>
          <w:lang w:eastAsia="en-US"/>
        </w:rPr>
        <w:t xml:space="preserve">, </w:t>
      </w:r>
      <w:r w:rsidR="00D30137" w:rsidRPr="00D30137">
        <w:rPr>
          <w:bCs/>
          <w:color w:val="000000" w:themeColor="text1"/>
        </w:rPr>
        <w:t>права Європейського Союзу (</w:t>
      </w:r>
      <w:proofErr w:type="spellStart"/>
      <w:r w:rsidR="00D30137" w:rsidRPr="00D30137">
        <w:rPr>
          <w:bCs/>
          <w:color w:val="000000" w:themeColor="text1"/>
        </w:rPr>
        <w:t>aсquis</w:t>
      </w:r>
      <w:proofErr w:type="spellEnd"/>
      <w:r w:rsidR="00D30137" w:rsidRPr="00D30137">
        <w:rPr>
          <w:bCs/>
          <w:color w:val="000000" w:themeColor="text1"/>
        </w:rPr>
        <w:t xml:space="preserve"> ЄС) та </w:t>
      </w:r>
      <w:r w:rsidR="00D30137" w:rsidRPr="00D30137">
        <w:rPr>
          <w:bCs/>
          <w:color w:val="000000" w:themeColor="text1"/>
        </w:rPr>
        <w:lastRenderedPageBreak/>
        <w:t>зобов’язання України у сфері європейської інтеграції</w:t>
      </w:r>
      <w:r w:rsidR="00FF3BF0" w:rsidRPr="00D30137">
        <w:rPr>
          <w:rFonts w:eastAsia="Calibri"/>
          <w:color w:val="000000" w:themeColor="text1"/>
          <w:lang w:eastAsia="en-US"/>
        </w:rPr>
        <w:t>.</w:t>
      </w:r>
    </w:p>
    <w:p w14:paraId="79AEE08F" w14:textId="77777777" w:rsidR="0028366A" w:rsidRPr="00D30137" w:rsidRDefault="0028366A" w:rsidP="0028366A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>Національний банк набув повноважень регулятора ринку небанківських фінансових послуг у 2020 році</w:t>
      </w:r>
      <w:r w:rsidR="004B21C6" w:rsidRPr="00D30137">
        <w:rPr>
          <w:rFonts w:eastAsia="Calibri"/>
          <w:color w:val="000000" w:themeColor="text1"/>
          <w:lang w:eastAsia="en-US"/>
        </w:rPr>
        <w:t xml:space="preserve"> та наразі</w:t>
      </w:r>
      <w:r w:rsidRPr="00D30137">
        <w:rPr>
          <w:rFonts w:eastAsia="Calibri"/>
          <w:color w:val="000000" w:themeColor="text1"/>
          <w:lang w:eastAsia="en-US"/>
        </w:rPr>
        <w:t xml:space="preserve"> не має регуляторних актів</w:t>
      </w:r>
      <w:r w:rsidR="00FF3BF0" w:rsidRPr="00D30137">
        <w:rPr>
          <w:rFonts w:eastAsia="Calibri"/>
          <w:color w:val="000000" w:themeColor="text1"/>
          <w:lang w:eastAsia="en-US"/>
        </w:rPr>
        <w:t xml:space="preserve"> які б регулювали питання </w:t>
      </w:r>
      <w:r w:rsidRPr="00D30137">
        <w:rPr>
          <w:rFonts w:eastAsia="Calibri"/>
          <w:color w:val="000000" w:themeColor="text1"/>
          <w:lang w:eastAsia="en-US"/>
        </w:rPr>
        <w:t xml:space="preserve">організації систем </w:t>
      </w:r>
      <w:r w:rsidR="00FF3BF0" w:rsidRPr="00D30137">
        <w:rPr>
          <w:rFonts w:eastAsia="Calibri"/>
          <w:color w:val="000000" w:themeColor="text1"/>
          <w:lang w:eastAsia="en-US"/>
        </w:rPr>
        <w:t>внутрішнього контролю</w:t>
      </w:r>
      <w:r w:rsidRPr="00D30137">
        <w:rPr>
          <w:rFonts w:eastAsia="Calibri"/>
          <w:color w:val="000000" w:themeColor="text1"/>
          <w:lang w:eastAsia="en-US"/>
        </w:rPr>
        <w:t xml:space="preserve"> в </w:t>
      </w:r>
      <w:r w:rsidRPr="00711E53">
        <w:rPr>
          <w:rFonts w:eastAsia="Calibri"/>
          <w:color w:val="000000" w:themeColor="text1"/>
          <w:lang w:eastAsia="en-US"/>
        </w:rPr>
        <w:t>надавачах фінансових послуг та небанківських фінансових</w:t>
      </w:r>
      <w:r w:rsidRPr="00D30137">
        <w:rPr>
          <w:rFonts w:eastAsia="Calibri"/>
          <w:color w:val="000000" w:themeColor="text1"/>
          <w:lang w:eastAsia="en-US"/>
        </w:rPr>
        <w:t xml:space="preserve"> групах, </w:t>
      </w:r>
      <w:r w:rsidR="004B21C6" w:rsidRPr="00D30137">
        <w:rPr>
          <w:rFonts w:eastAsia="Calibri"/>
          <w:color w:val="000000" w:themeColor="text1"/>
          <w:lang w:eastAsia="en-US"/>
        </w:rPr>
        <w:t xml:space="preserve">державне регулювання та нагляд за діяльністю яких здійснює </w:t>
      </w:r>
      <w:r w:rsidR="00911FD4" w:rsidRPr="00D30137">
        <w:rPr>
          <w:rFonts w:eastAsia="Calibri"/>
          <w:color w:val="000000" w:themeColor="text1"/>
          <w:lang w:eastAsia="en-US"/>
        </w:rPr>
        <w:t>Національни</w:t>
      </w:r>
      <w:r w:rsidR="00911FD4">
        <w:rPr>
          <w:rFonts w:eastAsia="Calibri"/>
          <w:color w:val="000000" w:themeColor="text1"/>
          <w:lang w:eastAsia="en-US"/>
        </w:rPr>
        <w:t>й</w:t>
      </w:r>
      <w:r w:rsidR="00911FD4" w:rsidRPr="00D30137">
        <w:rPr>
          <w:rFonts w:eastAsia="Calibri"/>
          <w:color w:val="000000" w:themeColor="text1"/>
          <w:lang w:eastAsia="en-US"/>
        </w:rPr>
        <w:t xml:space="preserve"> </w:t>
      </w:r>
      <w:r w:rsidR="004B21C6" w:rsidRPr="00D30137">
        <w:rPr>
          <w:rFonts w:eastAsia="Calibri"/>
          <w:color w:val="000000" w:themeColor="text1"/>
          <w:lang w:eastAsia="en-US"/>
        </w:rPr>
        <w:t>банк</w:t>
      </w:r>
      <w:r w:rsidRPr="00D30137">
        <w:rPr>
          <w:rFonts w:eastAsia="Calibri"/>
          <w:color w:val="000000" w:themeColor="text1"/>
          <w:lang w:eastAsia="en-US"/>
        </w:rPr>
        <w:t>.</w:t>
      </w:r>
    </w:p>
    <w:p w14:paraId="44E9CE00" w14:textId="77777777" w:rsidR="001F00C7" w:rsidRPr="00D30137" w:rsidRDefault="001F00C7" w:rsidP="001F00C7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 xml:space="preserve">Отже, </w:t>
      </w:r>
      <w:r w:rsidR="004B21C6" w:rsidRPr="00D30137">
        <w:rPr>
          <w:rFonts w:eastAsia="Calibri"/>
          <w:color w:val="000000" w:themeColor="text1"/>
          <w:lang w:eastAsia="en-US"/>
        </w:rPr>
        <w:t xml:space="preserve">з урахуванням </w:t>
      </w:r>
      <w:r w:rsidRPr="00D30137">
        <w:rPr>
          <w:rFonts w:eastAsia="Calibri"/>
          <w:color w:val="000000" w:themeColor="text1"/>
          <w:lang w:eastAsia="en-US"/>
        </w:rPr>
        <w:t>положен</w:t>
      </w:r>
      <w:r w:rsidR="00621D92" w:rsidRPr="00D30137">
        <w:rPr>
          <w:rFonts w:eastAsia="Calibri"/>
          <w:color w:val="000000" w:themeColor="text1"/>
          <w:lang w:eastAsia="en-US"/>
        </w:rPr>
        <w:t>ь</w:t>
      </w:r>
      <w:r w:rsidRPr="00D30137">
        <w:rPr>
          <w:rFonts w:eastAsia="Calibri"/>
          <w:color w:val="000000" w:themeColor="text1"/>
          <w:lang w:eastAsia="en-US"/>
        </w:rPr>
        <w:t xml:space="preserve"> Закону про фінансові послуги та пункт</w:t>
      </w:r>
      <w:r w:rsidR="00621D92" w:rsidRPr="00D30137">
        <w:rPr>
          <w:rFonts w:eastAsia="Calibri"/>
          <w:color w:val="000000" w:themeColor="text1"/>
          <w:lang w:eastAsia="en-US"/>
        </w:rPr>
        <w:t>у</w:t>
      </w:r>
      <w:r w:rsidRPr="00D30137">
        <w:rPr>
          <w:rFonts w:eastAsia="Calibri"/>
          <w:color w:val="000000" w:themeColor="text1"/>
          <w:lang w:eastAsia="en-US"/>
        </w:rPr>
        <w:t xml:space="preserve"> 14 розділу ІІ </w:t>
      </w:r>
      <w:r w:rsidR="00621D92" w:rsidRPr="00D30137">
        <w:rPr>
          <w:rFonts w:eastAsia="Calibri"/>
          <w:color w:val="000000" w:themeColor="text1"/>
          <w:lang w:eastAsia="en-US"/>
        </w:rPr>
        <w:t xml:space="preserve">“Прикінцеві положення” </w:t>
      </w:r>
      <w:r w:rsidRPr="00D30137">
        <w:rPr>
          <w:rFonts w:eastAsia="Calibri"/>
          <w:color w:val="000000" w:themeColor="text1"/>
          <w:lang w:eastAsia="en-US"/>
        </w:rPr>
        <w:t>Закону № 79</w:t>
      </w:r>
      <w:r w:rsidR="003E6573">
        <w:rPr>
          <w:rFonts w:eastAsia="Calibri"/>
          <w:color w:val="000000" w:themeColor="text1"/>
          <w:lang w:eastAsia="en-US"/>
        </w:rPr>
        <w:t xml:space="preserve"> </w:t>
      </w:r>
      <w:r w:rsidR="004B21C6" w:rsidRPr="00D30137">
        <w:rPr>
          <w:rFonts w:eastAsia="Calibri"/>
          <w:color w:val="000000" w:themeColor="text1"/>
          <w:lang w:eastAsia="en-US"/>
        </w:rPr>
        <w:t xml:space="preserve">є потреба </w:t>
      </w:r>
      <w:r w:rsidR="003E6573">
        <w:rPr>
          <w:rFonts w:eastAsia="Calibri"/>
          <w:color w:val="000000" w:themeColor="text1"/>
          <w:lang w:eastAsia="en-US"/>
        </w:rPr>
        <w:t>в</w:t>
      </w:r>
      <w:r w:rsidR="003E6573"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>запровадженн</w:t>
      </w:r>
      <w:r w:rsidR="00621D92" w:rsidRPr="00D30137">
        <w:rPr>
          <w:rFonts w:eastAsia="Calibri"/>
          <w:color w:val="000000" w:themeColor="text1"/>
          <w:lang w:eastAsia="en-US"/>
        </w:rPr>
        <w:t>і належного</w:t>
      </w:r>
      <w:r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bCs/>
          <w:color w:val="000000" w:themeColor="text1"/>
          <w:lang w:eastAsia="en-US"/>
        </w:rPr>
        <w:t xml:space="preserve">регулювання й нагляду за </w:t>
      </w:r>
      <w:r w:rsidRPr="00711E53">
        <w:rPr>
          <w:rFonts w:eastAsia="Calibri"/>
          <w:bCs/>
          <w:color w:val="000000" w:themeColor="text1"/>
          <w:lang w:eastAsia="en-US"/>
        </w:rPr>
        <w:t>дотриманням надавачами фінансових послуг та небанківськими фінансовими групами</w:t>
      </w:r>
      <w:r w:rsidRPr="00D30137">
        <w:rPr>
          <w:rFonts w:eastAsia="Calibri"/>
          <w:bCs/>
          <w:color w:val="000000" w:themeColor="text1"/>
          <w:lang w:eastAsia="en-US"/>
        </w:rPr>
        <w:t xml:space="preserve">, </w:t>
      </w:r>
      <w:r w:rsidR="00621D92" w:rsidRPr="00D30137">
        <w:rPr>
          <w:rFonts w:eastAsia="Calibri"/>
          <w:color w:val="000000" w:themeColor="text1"/>
          <w:lang w:eastAsia="en-US"/>
        </w:rPr>
        <w:t xml:space="preserve">державне регулювання та нагляд за діяльністю яких здійснює </w:t>
      </w:r>
      <w:r w:rsidR="00AD6AC8" w:rsidRPr="00D30137">
        <w:rPr>
          <w:rFonts w:eastAsia="Calibri"/>
          <w:color w:val="000000" w:themeColor="text1"/>
          <w:lang w:eastAsia="en-US"/>
        </w:rPr>
        <w:t>Національни</w:t>
      </w:r>
      <w:r w:rsidR="00AD6AC8">
        <w:rPr>
          <w:rFonts w:eastAsia="Calibri"/>
          <w:color w:val="000000" w:themeColor="text1"/>
          <w:lang w:eastAsia="en-US"/>
        </w:rPr>
        <w:t>й</w:t>
      </w:r>
      <w:r w:rsidR="00AD6AC8" w:rsidRPr="00D30137">
        <w:rPr>
          <w:rFonts w:eastAsia="Calibri"/>
          <w:color w:val="000000" w:themeColor="text1"/>
          <w:lang w:eastAsia="en-US"/>
        </w:rPr>
        <w:t xml:space="preserve"> </w:t>
      </w:r>
      <w:r w:rsidR="00621D92" w:rsidRPr="00D30137">
        <w:rPr>
          <w:rFonts w:eastAsia="Calibri"/>
          <w:color w:val="000000" w:themeColor="text1"/>
          <w:lang w:eastAsia="en-US"/>
        </w:rPr>
        <w:t>банк</w:t>
      </w:r>
      <w:r w:rsidRPr="00D30137">
        <w:rPr>
          <w:rFonts w:eastAsia="Calibri"/>
          <w:bCs/>
          <w:color w:val="000000" w:themeColor="text1"/>
          <w:lang w:eastAsia="en-US"/>
        </w:rPr>
        <w:t xml:space="preserve">, вимог до їх систем </w:t>
      </w:r>
      <w:r w:rsidR="00621D92" w:rsidRPr="00D30137">
        <w:rPr>
          <w:rFonts w:eastAsia="Calibri"/>
          <w:bCs/>
          <w:color w:val="000000" w:themeColor="text1"/>
          <w:lang w:eastAsia="en-US"/>
        </w:rPr>
        <w:t xml:space="preserve">внутрішнього контролю шляхом затвердження </w:t>
      </w:r>
      <w:r w:rsidRPr="00D30137">
        <w:rPr>
          <w:rFonts w:eastAsia="Calibri"/>
          <w:color w:val="000000" w:themeColor="text1"/>
          <w:lang w:eastAsia="en-US"/>
        </w:rPr>
        <w:t>відповідн</w:t>
      </w:r>
      <w:r w:rsidR="00621D92" w:rsidRPr="00D30137">
        <w:rPr>
          <w:rFonts w:eastAsia="Calibri"/>
          <w:color w:val="000000" w:themeColor="text1"/>
          <w:lang w:eastAsia="en-US"/>
        </w:rPr>
        <w:t>ого</w:t>
      </w:r>
      <w:r w:rsidRPr="00D30137">
        <w:rPr>
          <w:rFonts w:eastAsia="Calibri"/>
          <w:color w:val="000000" w:themeColor="text1"/>
          <w:lang w:eastAsia="en-US"/>
        </w:rPr>
        <w:t xml:space="preserve"> нормативно-правов</w:t>
      </w:r>
      <w:r w:rsidR="00621D92" w:rsidRPr="00D30137">
        <w:rPr>
          <w:rFonts w:eastAsia="Calibri"/>
          <w:color w:val="000000" w:themeColor="text1"/>
          <w:lang w:eastAsia="en-US"/>
        </w:rPr>
        <w:t>ого</w:t>
      </w:r>
      <w:r w:rsidRPr="00D30137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="00FD46D5" w:rsidRPr="00D30137">
        <w:rPr>
          <w:rFonts w:eastAsia="Calibri"/>
          <w:color w:val="000000" w:themeColor="text1"/>
          <w:lang w:eastAsia="en-US"/>
        </w:rPr>
        <w:t>акт</w:t>
      </w:r>
      <w:r w:rsidR="00FD46D5">
        <w:rPr>
          <w:rFonts w:eastAsia="Calibri"/>
          <w:color w:val="000000" w:themeColor="text1"/>
          <w:lang w:eastAsia="en-US"/>
        </w:rPr>
        <w:t>а</w:t>
      </w:r>
      <w:proofErr w:type="spellEnd"/>
      <w:r w:rsidR="00FD46D5" w:rsidRPr="00D30137">
        <w:rPr>
          <w:rFonts w:eastAsia="Calibri"/>
          <w:color w:val="000000" w:themeColor="text1"/>
          <w:lang w:eastAsia="en-US"/>
        </w:rPr>
        <w:t xml:space="preserve"> </w:t>
      </w:r>
      <w:r w:rsidR="00621D92" w:rsidRPr="00D30137">
        <w:rPr>
          <w:rFonts w:eastAsia="Calibri"/>
          <w:color w:val="000000" w:themeColor="text1"/>
          <w:lang w:eastAsia="en-US"/>
        </w:rPr>
        <w:t>Національним банком</w:t>
      </w:r>
      <w:r w:rsidRPr="00D30137">
        <w:rPr>
          <w:rFonts w:eastAsia="Calibri"/>
          <w:color w:val="000000" w:themeColor="text1"/>
          <w:lang w:eastAsia="en-US"/>
        </w:rPr>
        <w:t xml:space="preserve">. </w:t>
      </w:r>
    </w:p>
    <w:p w14:paraId="5890C02C" w14:textId="77777777" w:rsidR="001F00C7" w:rsidRPr="00D30137" w:rsidRDefault="001F00C7" w:rsidP="001F00C7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D30137">
        <w:rPr>
          <w:rFonts w:eastAsia="Calibri"/>
          <w:color w:val="000000" w:themeColor="text1"/>
          <w:lang w:eastAsia="en-US"/>
        </w:rPr>
        <w:t xml:space="preserve">Зазначене питання не може бути вирішене за допомогою ринкових механізмів, оскільки воно стосується реалізації повноважень Національного банку, </w:t>
      </w:r>
      <w:r w:rsidR="0039438D">
        <w:rPr>
          <w:rFonts w:eastAsia="Calibri"/>
          <w:color w:val="000000" w:themeColor="text1"/>
          <w:lang w:eastAsia="en-US"/>
        </w:rPr>
        <w:t>передбачених</w:t>
      </w:r>
      <w:r w:rsidR="0039438D" w:rsidRPr="00D30137">
        <w:rPr>
          <w:rFonts w:eastAsia="Calibri"/>
          <w:color w:val="000000" w:themeColor="text1"/>
          <w:lang w:eastAsia="en-US"/>
        </w:rPr>
        <w:t xml:space="preserve"> </w:t>
      </w:r>
      <w:r w:rsidRPr="00D30137">
        <w:rPr>
          <w:rFonts w:eastAsia="Calibri"/>
          <w:color w:val="000000" w:themeColor="text1"/>
          <w:lang w:eastAsia="en-US"/>
        </w:rPr>
        <w:t xml:space="preserve">Законом про фінансові послуги та Законом про Національний банк. </w:t>
      </w:r>
    </w:p>
    <w:p w14:paraId="44294096" w14:textId="77777777" w:rsidR="00672E4B" w:rsidRPr="00D30137" w:rsidRDefault="00672E4B" w:rsidP="00672E4B">
      <w:pPr>
        <w:widowControl w:val="0"/>
        <w:shd w:val="clear" w:color="auto" w:fill="FFFFFF"/>
        <w:ind w:firstLine="686"/>
        <w:rPr>
          <w:color w:val="000000" w:themeColor="text1"/>
          <w:lang w:eastAsia="zh-CN"/>
        </w:rPr>
      </w:pPr>
      <w:r w:rsidRPr="00D30137">
        <w:rPr>
          <w:color w:val="000000" w:themeColor="text1"/>
          <w:lang w:eastAsia="zh-CN"/>
        </w:rPr>
        <w:t>Суб’єктами, на яких вище</w:t>
      </w:r>
      <w:r w:rsidR="00681337">
        <w:rPr>
          <w:color w:val="000000" w:themeColor="text1"/>
          <w:lang w:eastAsia="zh-CN"/>
        </w:rPr>
        <w:t>зазначені</w:t>
      </w:r>
      <w:r w:rsidRPr="00D30137">
        <w:rPr>
          <w:color w:val="000000" w:themeColor="text1"/>
          <w:lang w:eastAsia="zh-CN"/>
        </w:rPr>
        <w:t xml:space="preserve"> проблеми </w:t>
      </w:r>
      <w:r w:rsidR="00681337" w:rsidRPr="00D30137">
        <w:rPr>
          <w:color w:val="000000" w:themeColor="text1"/>
          <w:lang w:eastAsia="zh-CN"/>
        </w:rPr>
        <w:t>негативн</w:t>
      </w:r>
      <w:r w:rsidR="00681337">
        <w:rPr>
          <w:color w:val="000000" w:themeColor="text1"/>
          <w:lang w:eastAsia="zh-CN"/>
        </w:rPr>
        <w:t>о</w:t>
      </w:r>
      <w:r w:rsidR="00681337" w:rsidRPr="00D30137">
        <w:rPr>
          <w:color w:val="000000" w:themeColor="text1"/>
          <w:lang w:eastAsia="zh-CN"/>
        </w:rPr>
        <w:t xml:space="preserve"> </w:t>
      </w:r>
      <w:r w:rsidRPr="00D30137">
        <w:rPr>
          <w:color w:val="000000" w:themeColor="text1"/>
          <w:lang w:eastAsia="zh-CN"/>
        </w:rPr>
        <w:t>вплив</w:t>
      </w:r>
      <w:r w:rsidR="00681337">
        <w:rPr>
          <w:color w:val="000000" w:themeColor="text1"/>
          <w:lang w:eastAsia="zh-CN"/>
        </w:rPr>
        <w:t>ають</w:t>
      </w:r>
      <w:r w:rsidRPr="00D30137">
        <w:rPr>
          <w:color w:val="000000" w:themeColor="text1"/>
          <w:lang w:eastAsia="zh-CN"/>
        </w:rPr>
        <w:t xml:space="preserve">, є: </w:t>
      </w:r>
    </w:p>
    <w:p w14:paraId="7D9F83D8" w14:textId="77777777" w:rsidR="00672E4B" w:rsidRPr="00D30137" w:rsidRDefault="00672E4B" w:rsidP="00672E4B">
      <w:pPr>
        <w:widowControl w:val="0"/>
        <w:shd w:val="clear" w:color="auto" w:fill="FFFFFF"/>
        <w:ind w:firstLine="686"/>
        <w:rPr>
          <w:color w:val="000000" w:themeColor="text1"/>
          <w:szCs w:val="24"/>
        </w:rPr>
      </w:pPr>
      <w:r w:rsidRPr="00D30137">
        <w:rPr>
          <w:color w:val="000000" w:themeColor="text1"/>
          <w:lang w:eastAsia="zh-CN"/>
        </w:rPr>
        <w:t>1)</w:t>
      </w:r>
      <w:r w:rsidR="00621D92" w:rsidRPr="00D30137">
        <w:rPr>
          <w:color w:val="000000" w:themeColor="text1"/>
          <w:lang w:eastAsia="zh-CN"/>
        </w:rPr>
        <w:t xml:space="preserve"> небанківські фінансові установи, платіжні установи, філії іноземних платіжних установ, юридичні особи, які не є фінансовими установами, але мають право надавати окремі фінансові послуги, включаючи установи електронних грошей, операторів поштового зв</w:t>
      </w:r>
      <w:r w:rsidR="00331E21">
        <w:rPr>
          <w:color w:val="000000" w:themeColor="text1"/>
          <w:lang w:eastAsia="zh-CN"/>
        </w:rPr>
        <w:t>’</w:t>
      </w:r>
      <w:r w:rsidR="00621D92" w:rsidRPr="00D30137">
        <w:rPr>
          <w:color w:val="000000" w:themeColor="text1"/>
          <w:lang w:eastAsia="zh-CN"/>
        </w:rPr>
        <w:t xml:space="preserve">язку, які мають право надавати фінансові платіжні послуги (далі – надавач фінансових послуг), та </w:t>
      </w:r>
      <w:r w:rsidR="00893145" w:rsidRPr="00D30137">
        <w:rPr>
          <w:color w:val="000000" w:themeColor="text1"/>
          <w:lang w:eastAsia="zh-CN"/>
        </w:rPr>
        <w:t>небанківськ</w:t>
      </w:r>
      <w:r w:rsidR="00893145">
        <w:rPr>
          <w:color w:val="000000" w:themeColor="text1"/>
          <w:lang w:eastAsia="zh-CN"/>
        </w:rPr>
        <w:t>і</w:t>
      </w:r>
      <w:r w:rsidR="00893145" w:rsidRPr="00D30137">
        <w:rPr>
          <w:color w:val="000000" w:themeColor="text1"/>
          <w:lang w:eastAsia="zh-CN"/>
        </w:rPr>
        <w:t xml:space="preserve"> фінансов</w:t>
      </w:r>
      <w:r w:rsidR="00893145">
        <w:rPr>
          <w:color w:val="000000" w:themeColor="text1"/>
          <w:lang w:eastAsia="zh-CN"/>
        </w:rPr>
        <w:t>і</w:t>
      </w:r>
      <w:r w:rsidR="00893145" w:rsidRPr="00D30137">
        <w:rPr>
          <w:color w:val="000000" w:themeColor="text1"/>
          <w:lang w:eastAsia="zh-CN"/>
        </w:rPr>
        <w:t xml:space="preserve"> </w:t>
      </w:r>
      <w:r w:rsidR="00621D92" w:rsidRPr="00D30137">
        <w:rPr>
          <w:color w:val="000000" w:themeColor="text1"/>
          <w:lang w:eastAsia="zh-CN"/>
        </w:rPr>
        <w:t xml:space="preserve">групи, державне регулювання та нагляд за діяльністю яких здійснює </w:t>
      </w:r>
      <w:r w:rsidR="00893145" w:rsidRPr="00D30137">
        <w:rPr>
          <w:color w:val="000000" w:themeColor="text1"/>
          <w:lang w:eastAsia="zh-CN"/>
        </w:rPr>
        <w:t>Національни</w:t>
      </w:r>
      <w:r w:rsidR="00893145">
        <w:rPr>
          <w:color w:val="000000" w:themeColor="text1"/>
          <w:lang w:eastAsia="zh-CN"/>
        </w:rPr>
        <w:t>й</w:t>
      </w:r>
      <w:r w:rsidR="00893145" w:rsidRPr="00D30137">
        <w:rPr>
          <w:color w:val="000000" w:themeColor="text1"/>
          <w:lang w:eastAsia="zh-CN"/>
        </w:rPr>
        <w:t xml:space="preserve"> </w:t>
      </w:r>
      <w:r w:rsidR="00621D92" w:rsidRPr="00D30137">
        <w:rPr>
          <w:color w:val="000000" w:themeColor="text1"/>
          <w:lang w:eastAsia="zh-CN"/>
        </w:rPr>
        <w:t>банк</w:t>
      </w:r>
      <w:r w:rsidR="00C23F39" w:rsidRPr="00D30137">
        <w:rPr>
          <w:color w:val="000000" w:themeColor="text1"/>
          <w:lang w:eastAsia="zh-CN"/>
        </w:rPr>
        <w:t xml:space="preserve"> (далі – небанківські фінансові групи)</w:t>
      </w:r>
      <w:r w:rsidRPr="00D30137">
        <w:rPr>
          <w:color w:val="000000" w:themeColor="text1"/>
          <w:szCs w:val="24"/>
        </w:rPr>
        <w:t>;</w:t>
      </w:r>
    </w:p>
    <w:p w14:paraId="6B91EF00" w14:textId="77777777" w:rsidR="00672E4B" w:rsidRPr="00D30137" w:rsidRDefault="00672E4B" w:rsidP="00672E4B">
      <w:pPr>
        <w:widowControl w:val="0"/>
        <w:shd w:val="clear" w:color="auto" w:fill="FFFFFF"/>
        <w:ind w:firstLine="686"/>
        <w:rPr>
          <w:color w:val="000000" w:themeColor="text1"/>
          <w:lang w:eastAsia="zh-CN"/>
        </w:rPr>
      </w:pPr>
      <w:r w:rsidRPr="00D30137">
        <w:rPr>
          <w:color w:val="000000" w:themeColor="text1"/>
          <w:szCs w:val="24"/>
        </w:rPr>
        <w:t>2) Національний банк</w:t>
      </w:r>
      <w:r w:rsidRPr="00D30137">
        <w:rPr>
          <w:color w:val="000000" w:themeColor="text1"/>
          <w:lang w:eastAsia="zh-CN"/>
        </w:rPr>
        <w:t xml:space="preserve">. </w:t>
      </w:r>
    </w:p>
    <w:p w14:paraId="588AC4D1" w14:textId="77777777" w:rsidR="00672E4B" w:rsidRPr="00D30137" w:rsidRDefault="00672E4B" w:rsidP="00672E4B">
      <w:pPr>
        <w:widowControl w:val="0"/>
        <w:shd w:val="clear" w:color="auto" w:fill="FFFFFF"/>
        <w:ind w:firstLine="686"/>
        <w:rPr>
          <w:color w:val="000000" w:themeColor="text1"/>
          <w:lang w:eastAsia="zh-CN"/>
        </w:rPr>
      </w:pPr>
    </w:p>
    <w:p w14:paraId="5EAD5C77" w14:textId="77777777" w:rsidR="00672E4B" w:rsidRPr="00D30137" w:rsidRDefault="00672E4B" w:rsidP="00672E4B">
      <w:pPr>
        <w:widowControl w:val="0"/>
        <w:ind w:firstLine="686"/>
        <w:rPr>
          <w:b/>
          <w:color w:val="000000" w:themeColor="text1"/>
          <w:lang w:eastAsia="zh-CN"/>
        </w:rPr>
      </w:pPr>
      <w:r w:rsidRPr="00D30137">
        <w:rPr>
          <w:b/>
          <w:color w:val="000000" w:themeColor="text1"/>
          <w:lang w:eastAsia="zh-CN"/>
        </w:rPr>
        <w:t xml:space="preserve">ІІ. Визначення цілей державного регулювання </w:t>
      </w:r>
    </w:p>
    <w:p w14:paraId="3BC13991" w14:textId="77777777" w:rsidR="00672E4B" w:rsidRPr="00D30137" w:rsidRDefault="00672E4B" w:rsidP="00672E4B">
      <w:pPr>
        <w:widowControl w:val="0"/>
        <w:ind w:firstLine="686"/>
        <w:rPr>
          <w:color w:val="000000" w:themeColor="text1"/>
          <w:lang w:eastAsia="ru-RU"/>
        </w:rPr>
      </w:pPr>
      <w:r w:rsidRPr="00D30137">
        <w:rPr>
          <w:color w:val="000000" w:themeColor="text1"/>
          <w:lang w:eastAsia="ru-RU"/>
        </w:rPr>
        <w:t xml:space="preserve">Цілями державного регулювання, що безпосередньо пов’язані з вирішенням зазначених проблем, є забезпечення здійснення Національним банком функцій </w:t>
      </w:r>
      <w:r w:rsidRPr="00D30137">
        <w:rPr>
          <w:color w:val="000000" w:themeColor="text1"/>
          <w:lang w:eastAsia="zh-CN"/>
        </w:rPr>
        <w:t xml:space="preserve">регулювання </w:t>
      </w:r>
      <w:r w:rsidRPr="00D30137">
        <w:rPr>
          <w:rFonts w:eastAsia="Calibri"/>
          <w:color w:val="000000" w:themeColor="text1"/>
          <w:lang w:eastAsia="en-US"/>
        </w:rPr>
        <w:t>та нагляду на індивідуальній</w:t>
      </w:r>
      <w:r w:rsidR="00C87725" w:rsidRPr="00D30137">
        <w:rPr>
          <w:rFonts w:eastAsia="Calibri"/>
          <w:color w:val="000000" w:themeColor="text1"/>
          <w:lang w:eastAsia="en-US"/>
        </w:rPr>
        <w:t xml:space="preserve"> та консолідованій</w:t>
      </w:r>
      <w:r w:rsidRPr="00D30137">
        <w:rPr>
          <w:rFonts w:eastAsia="Calibri"/>
          <w:color w:val="000000" w:themeColor="text1"/>
          <w:lang w:eastAsia="en-US"/>
        </w:rPr>
        <w:t xml:space="preserve"> основі на ринках небанківських фінансових послуг за діяльністю учасників ринку небанківських фінансових послуг із дотриманням принципів законності, співмірності, відкритості та прозорості</w:t>
      </w:r>
      <w:r w:rsidR="00C87725" w:rsidRPr="00D30137">
        <w:rPr>
          <w:color w:val="000000" w:themeColor="text1"/>
          <w:lang w:eastAsia="ru-RU"/>
        </w:rPr>
        <w:t xml:space="preserve">, а також забезпечення </w:t>
      </w:r>
      <w:r w:rsidR="00C87725" w:rsidRPr="00D30137">
        <w:rPr>
          <w:color w:val="000000" w:themeColor="text1"/>
        </w:rPr>
        <w:t>безпеки та фінансової стабільності фінансової системи, захисту споживачів фінансових послуг, запобігання кризовим явищам.</w:t>
      </w:r>
    </w:p>
    <w:p w14:paraId="7ECA3E92" w14:textId="77777777" w:rsidR="00672E4B" w:rsidRPr="00D30137" w:rsidRDefault="00672E4B" w:rsidP="00672E4B">
      <w:pPr>
        <w:widowControl w:val="0"/>
        <w:ind w:firstLine="686"/>
        <w:rPr>
          <w:color w:val="000000" w:themeColor="text1"/>
          <w:lang w:eastAsia="zh-CN"/>
        </w:rPr>
      </w:pPr>
      <w:proofErr w:type="spellStart"/>
      <w:r w:rsidRPr="00D30137">
        <w:rPr>
          <w:color w:val="000000" w:themeColor="text1"/>
          <w:lang w:eastAsia="zh-CN"/>
        </w:rPr>
        <w:t>Проєкт</w:t>
      </w:r>
      <w:proofErr w:type="spellEnd"/>
      <w:r w:rsidRPr="00D30137">
        <w:rPr>
          <w:color w:val="000000" w:themeColor="text1"/>
          <w:lang w:eastAsia="zh-CN"/>
        </w:rPr>
        <w:t xml:space="preserve"> постанови </w:t>
      </w:r>
      <w:r w:rsidRPr="00D30137">
        <w:rPr>
          <w:color w:val="000000" w:themeColor="text1"/>
          <w:lang w:eastAsia="ru-RU"/>
        </w:rPr>
        <w:t xml:space="preserve">Правління Національного банку </w:t>
      </w:r>
      <w:r w:rsidR="009D676B">
        <w:rPr>
          <w:color w:val="000000" w:themeColor="text1"/>
          <w:lang w:eastAsia="ru-RU"/>
        </w:rPr>
        <w:t xml:space="preserve">України </w:t>
      </w:r>
      <w:r w:rsidRPr="00D30137">
        <w:rPr>
          <w:color w:val="000000" w:themeColor="text1"/>
          <w:lang w:eastAsia="ru-RU"/>
        </w:rPr>
        <w:t xml:space="preserve">“Про затвердження </w:t>
      </w:r>
      <w:r w:rsidR="00C87725" w:rsidRPr="00D30137">
        <w:rPr>
          <w:color w:val="000000" w:themeColor="text1"/>
          <w:lang w:eastAsia="ru-RU"/>
        </w:rPr>
        <w:t xml:space="preserve">Положення </w:t>
      </w:r>
      <w:r w:rsidR="00C87725" w:rsidRPr="00D30137">
        <w:rPr>
          <w:rFonts w:eastAsiaTheme="minorEastAsia"/>
          <w:color w:val="000000" w:themeColor="text1"/>
        </w:rPr>
        <w:t>про організацію системи внутрішнього контролю в надавачах фінансових послуг та небанківських фінансових групах</w:t>
      </w:r>
      <w:r w:rsidRPr="00D30137">
        <w:rPr>
          <w:color w:val="000000" w:themeColor="text1"/>
          <w:szCs w:val="24"/>
        </w:rPr>
        <w:t>”</w:t>
      </w:r>
      <w:r w:rsidRPr="00D30137">
        <w:rPr>
          <w:color w:val="000000" w:themeColor="text1"/>
          <w:lang w:eastAsia="ru-RU"/>
        </w:rPr>
        <w:t xml:space="preserve"> (далі – </w:t>
      </w:r>
      <w:proofErr w:type="spellStart"/>
      <w:r w:rsidRPr="00D30137">
        <w:rPr>
          <w:color w:val="000000" w:themeColor="text1"/>
          <w:lang w:eastAsia="ru-RU"/>
        </w:rPr>
        <w:t>проєкт</w:t>
      </w:r>
      <w:proofErr w:type="spellEnd"/>
      <w:r w:rsidRPr="00D30137">
        <w:rPr>
          <w:color w:val="000000" w:themeColor="text1"/>
          <w:lang w:eastAsia="ru-RU"/>
        </w:rPr>
        <w:t xml:space="preserve"> постанови)</w:t>
      </w:r>
      <w:r w:rsidRPr="00D30137">
        <w:rPr>
          <w:b/>
          <w:color w:val="000000" w:themeColor="text1"/>
          <w:lang w:eastAsia="zh-CN"/>
        </w:rPr>
        <w:t xml:space="preserve"> </w:t>
      </w:r>
      <w:r w:rsidRPr="00D30137">
        <w:rPr>
          <w:color w:val="000000" w:themeColor="text1"/>
          <w:lang w:eastAsia="zh-CN"/>
        </w:rPr>
        <w:t>розроблено з метою</w:t>
      </w:r>
      <w:r w:rsidR="00C87725" w:rsidRPr="00D30137">
        <w:rPr>
          <w:color w:val="000000" w:themeColor="text1"/>
          <w:lang w:eastAsia="zh-CN"/>
        </w:rPr>
        <w:t xml:space="preserve"> </w:t>
      </w:r>
      <w:bookmarkStart w:id="1" w:name="_Hlk106187963"/>
      <w:r w:rsidR="00C87725" w:rsidRPr="00D30137">
        <w:rPr>
          <w:color w:val="000000" w:themeColor="text1"/>
          <w:lang w:eastAsia="zh-CN"/>
        </w:rPr>
        <w:t xml:space="preserve">встановлення основних цілей та засад організації та функціонування якісної та ефективної системи внутрішнього контролю, які встановлюються та виконуються за всіма напрямами діяльності </w:t>
      </w:r>
      <w:r w:rsidR="00C87725" w:rsidRPr="00EF0E0D">
        <w:rPr>
          <w:color w:val="000000" w:themeColor="text1"/>
          <w:lang w:eastAsia="zh-CN"/>
        </w:rPr>
        <w:lastRenderedPageBreak/>
        <w:t xml:space="preserve">надавачів </w:t>
      </w:r>
      <w:r w:rsidR="00C23F39" w:rsidRPr="00EF0E0D">
        <w:rPr>
          <w:color w:val="000000" w:themeColor="text1"/>
          <w:lang w:eastAsia="zh-CN"/>
        </w:rPr>
        <w:t>фінансових</w:t>
      </w:r>
      <w:r w:rsidR="00C23F39" w:rsidRPr="00D30137">
        <w:rPr>
          <w:color w:val="000000" w:themeColor="text1"/>
          <w:lang w:eastAsia="zh-CN"/>
        </w:rPr>
        <w:t xml:space="preserve"> послуг та небанківських фінансових груп</w:t>
      </w:r>
      <w:bookmarkEnd w:id="1"/>
      <w:r w:rsidRPr="00D30137">
        <w:rPr>
          <w:color w:val="000000" w:themeColor="text1"/>
          <w:lang w:eastAsia="zh-CN"/>
        </w:rPr>
        <w:t>.</w:t>
      </w:r>
    </w:p>
    <w:p w14:paraId="2FCF7182" w14:textId="77777777" w:rsidR="00672E4B" w:rsidRPr="00D30137" w:rsidRDefault="00672E4B" w:rsidP="00672E4B">
      <w:pPr>
        <w:widowControl w:val="0"/>
        <w:ind w:firstLine="686"/>
        <w:rPr>
          <w:color w:val="000000" w:themeColor="text1"/>
          <w:lang w:eastAsia="zh-CN"/>
        </w:rPr>
      </w:pPr>
    </w:p>
    <w:p w14:paraId="4442557A" w14:textId="77777777" w:rsidR="00672E4B" w:rsidRPr="00D30137" w:rsidRDefault="00672E4B" w:rsidP="00672E4B">
      <w:pPr>
        <w:widowControl w:val="0"/>
        <w:ind w:firstLine="686"/>
        <w:rPr>
          <w:b/>
          <w:color w:val="000000" w:themeColor="text1"/>
          <w:lang w:eastAsia="zh-CN"/>
        </w:rPr>
      </w:pPr>
      <w:r w:rsidRPr="00D30137">
        <w:rPr>
          <w:b/>
          <w:color w:val="000000" w:themeColor="text1"/>
          <w:lang w:eastAsia="zh-CN"/>
        </w:rPr>
        <w:t>ІІІ. Визначення та оцінка всіх прийнятних альтернативних способів досягнення зазначених цілей, наведення аргументів щодо переваги обраного способу</w:t>
      </w:r>
    </w:p>
    <w:p w14:paraId="3FD60D93" w14:textId="77777777" w:rsidR="00F03EEB" w:rsidRPr="00D30137" w:rsidRDefault="00F03EEB" w:rsidP="00F03EEB">
      <w:pPr>
        <w:widowControl w:val="0"/>
        <w:ind w:firstLine="686"/>
        <w:rPr>
          <w:color w:val="000000" w:themeColor="text1"/>
          <w:lang w:eastAsia="zh-CN"/>
        </w:rPr>
      </w:pPr>
      <w:r w:rsidRPr="00D30137">
        <w:rPr>
          <w:color w:val="000000" w:themeColor="text1"/>
        </w:rPr>
        <w:t xml:space="preserve">Ураховуючи потребу в унормуванні питань, пов’язаних із розробленням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>, альтернативних способів досягнення встановлених цілей немає.</w:t>
      </w:r>
    </w:p>
    <w:p w14:paraId="11D39B98" w14:textId="77777777" w:rsidR="00672E4B" w:rsidRPr="00D30137" w:rsidRDefault="00672E4B" w:rsidP="00672E4B">
      <w:pPr>
        <w:widowControl w:val="0"/>
        <w:ind w:firstLine="686"/>
        <w:rPr>
          <w:color w:val="000000" w:themeColor="text1"/>
          <w:lang w:eastAsia="zh-CN"/>
        </w:rPr>
      </w:pPr>
    </w:p>
    <w:p w14:paraId="7E04CBDD" w14:textId="77777777" w:rsidR="00672E4B" w:rsidRPr="00D30137" w:rsidRDefault="00672E4B" w:rsidP="00672E4B">
      <w:pPr>
        <w:widowControl w:val="0"/>
        <w:ind w:firstLine="686"/>
        <w:rPr>
          <w:b/>
          <w:color w:val="000000" w:themeColor="text1"/>
          <w:lang w:eastAsia="zh-CN"/>
        </w:rPr>
      </w:pPr>
      <w:r w:rsidRPr="0099787B">
        <w:rPr>
          <w:b/>
          <w:color w:val="000000" w:themeColor="text1"/>
          <w:lang w:eastAsia="zh-CN"/>
        </w:rPr>
        <w:t>ІV. Опис механізму, який пропонується застосувати для розв’язання проблеми, і відповідних</w:t>
      </w:r>
      <w:r w:rsidRPr="00D30137">
        <w:rPr>
          <w:b/>
          <w:color w:val="000000" w:themeColor="text1"/>
          <w:lang w:eastAsia="zh-CN"/>
        </w:rPr>
        <w:t xml:space="preserve"> заходів</w:t>
      </w:r>
    </w:p>
    <w:p w14:paraId="190DDF97" w14:textId="77777777" w:rsidR="00672E4B" w:rsidRPr="00D30137" w:rsidRDefault="0099787B" w:rsidP="00672E4B">
      <w:pPr>
        <w:widowControl w:val="0"/>
        <w:ind w:firstLine="686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У </w:t>
      </w:r>
      <w:proofErr w:type="spellStart"/>
      <w:r w:rsidR="005D241E">
        <w:rPr>
          <w:color w:val="000000" w:themeColor="text1"/>
          <w:lang w:eastAsia="zh-CN"/>
        </w:rPr>
        <w:t>п</w:t>
      </w:r>
      <w:r w:rsidRPr="00D30137">
        <w:rPr>
          <w:color w:val="000000" w:themeColor="text1"/>
          <w:lang w:eastAsia="zh-CN"/>
        </w:rPr>
        <w:t>роєкт</w:t>
      </w:r>
      <w:r>
        <w:rPr>
          <w:color w:val="000000" w:themeColor="text1"/>
          <w:lang w:eastAsia="zh-CN"/>
        </w:rPr>
        <w:t>і</w:t>
      </w:r>
      <w:proofErr w:type="spellEnd"/>
      <w:r w:rsidRPr="00D30137">
        <w:rPr>
          <w:color w:val="000000" w:themeColor="text1"/>
          <w:lang w:eastAsia="zh-CN"/>
        </w:rPr>
        <w:t xml:space="preserve"> </w:t>
      </w:r>
      <w:r w:rsidR="008C5577" w:rsidRPr="00D30137">
        <w:rPr>
          <w:color w:val="000000" w:themeColor="text1"/>
          <w:lang w:eastAsia="zh-CN"/>
        </w:rPr>
        <w:t xml:space="preserve">постанови передбачено затвердження </w:t>
      </w:r>
      <w:r w:rsidR="001C5C96" w:rsidRPr="00D30137">
        <w:rPr>
          <w:color w:val="000000" w:themeColor="text1"/>
          <w:lang w:eastAsia="ru-RU"/>
        </w:rPr>
        <w:t xml:space="preserve">Положення </w:t>
      </w:r>
      <w:r w:rsidR="001C5C96" w:rsidRPr="00D30137">
        <w:rPr>
          <w:rFonts w:eastAsiaTheme="minorEastAsia"/>
          <w:color w:val="000000" w:themeColor="text1"/>
        </w:rPr>
        <w:t xml:space="preserve">про організацію системи внутрішнього </w:t>
      </w:r>
      <w:r w:rsidR="001C5C96" w:rsidRPr="00711E53">
        <w:rPr>
          <w:rFonts w:eastAsiaTheme="minorEastAsia"/>
          <w:color w:val="000000" w:themeColor="text1"/>
        </w:rPr>
        <w:t>контролю в надавачах</w:t>
      </w:r>
      <w:r w:rsidR="001C5C96" w:rsidRPr="00D30137">
        <w:rPr>
          <w:rFonts w:eastAsiaTheme="minorEastAsia"/>
          <w:color w:val="000000" w:themeColor="text1"/>
        </w:rPr>
        <w:t xml:space="preserve"> фінансових послуг та </w:t>
      </w:r>
      <w:r w:rsidR="001C5C96" w:rsidRPr="00D30137">
        <w:rPr>
          <w:color w:val="000000" w:themeColor="text1"/>
          <w:lang w:eastAsia="zh-CN"/>
        </w:rPr>
        <w:t xml:space="preserve">небанківських фінансових групах, </w:t>
      </w:r>
      <w:r w:rsidR="00E2583F" w:rsidRPr="00D30137">
        <w:rPr>
          <w:color w:val="000000" w:themeColor="text1"/>
          <w:lang w:eastAsia="zh-CN"/>
        </w:rPr>
        <w:t>яким буде</w:t>
      </w:r>
      <w:r w:rsidR="00404C0E" w:rsidRPr="00D30137">
        <w:rPr>
          <w:color w:val="000000" w:themeColor="text1"/>
          <w:lang w:eastAsia="zh-CN"/>
        </w:rPr>
        <w:t>, зокрема,</w:t>
      </w:r>
      <w:r w:rsidR="00E2583F" w:rsidRPr="00D30137">
        <w:rPr>
          <w:color w:val="000000" w:themeColor="text1"/>
          <w:lang w:eastAsia="zh-CN"/>
        </w:rPr>
        <w:t xml:space="preserve"> визначено</w:t>
      </w:r>
      <w:r w:rsidR="00404C0E" w:rsidRPr="00D30137">
        <w:rPr>
          <w:color w:val="000000" w:themeColor="text1"/>
          <w:lang w:eastAsia="zh-CN"/>
        </w:rPr>
        <w:t>:</w:t>
      </w:r>
    </w:p>
    <w:p w14:paraId="44475289" w14:textId="77777777" w:rsidR="00404C0E" w:rsidRPr="00D30137" w:rsidRDefault="00404C0E" w:rsidP="00F30447">
      <w:pPr>
        <w:pStyle w:val="a6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eastAsia="zh-CN"/>
        </w:rPr>
      </w:pPr>
      <w:r w:rsidRPr="00D30137">
        <w:rPr>
          <w:color w:val="000000" w:themeColor="text1"/>
          <w:sz w:val="28"/>
          <w:szCs w:val="28"/>
          <w:lang w:eastAsia="zh-CN"/>
        </w:rPr>
        <w:t>загальні засади</w:t>
      </w:r>
      <w:r w:rsidR="00F30447" w:rsidRPr="00D30137">
        <w:rPr>
          <w:color w:val="000000" w:themeColor="text1"/>
          <w:sz w:val="28"/>
          <w:szCs w:val="28"/>
          <w:lang w:eastAsia="zh-CN"/>
        </w:rPr>
        <w:t xml:space="preserve"> та цілі</w:t>
      </w:r>
      <w:r w:rsidRPr="00D30137">
        <w:rPr>
          <w:color w:val="000000" w:themeColor="text1"/>
          <w:sz w:val="28"/>
          <w:szCs w:val="28"/>
          <w:lang w:eastAsia="zh-CN"/>
        </w:rPr>
        <w:t xml:space="preserve"> </w:t>
      </w:r>
      <w:r w:rsidR="00F30447" w:rsidRPr="00D30137">
        <w:rPr>
          <w:color w:val="000000" w:themeColor="text1"/>
          <w:sz w:val="28"/>
          <w:szCs w:val="28"/>
          <w:lang w:eastAsia="zh-CN"/>
        </w:rPr>
        <w:t xml:space="preserve">запровадження </w:t>
      </w:r>
      <w:r w:rsidRPr="00D30137">
        <w:rPr>
          <w:color w:val="000000" w:themeColor="text1"/>
          <w:sz w:val="28"/>
          <w:szCs w:val="28"/>
          <w:lang w:eastAsia="zh-CN"/>
        </w:rPr>
        <w:t>системи внутрішнього контролю;</w:t>
      </w:r>
    </w:p>
    <w:p w14:paraId="7F3631D3" w14:textId="77777777" w:rsidR="00404C0E" w:rsidRPr="00D30137" w:rsidRDefault="00F30447" w:rsidP="00F30447">
      <w:pPr>
        <w:pStyle w:val="a6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eastAsia="zh-CN"/>
        </w:rPr>
      </w:pPr>
      <w:r w:rsidRPr="00D30137">
        <w:rPr>
          <w:color w:val="000000" w:themeColor="text1"/>
          <w:sz w:val="28"/>
          <w:szCs w:val="28"/>
          <w:lang w:eastAsia="zh-CN"/>
        </w:rPr>
        <w:t>вимоги до внутрішніх документів та мінімальний перелік питань щодо внутрішнього контролю, які мають бути врегульовані у внутрішніх документах (</w:t>
      </w:r>
      <w:r w:rsidR="00356D4D" w:rsidRPr="00D30137">
        <w:rPr>
          <w:color w:val="000000" w:themeColor="text1"/>
          <w:sz w:val="28"/>
          <w:szCs w:val="28"/>
          <w:lang w:eastAsia="zh-CN"/>
        </w:rPr>
        <w:t xml:space="preserve">або </w:t>
      </w:r>
      <w:r w:rsidRPr="00D30137">
        <w:rPr>
          <w:color w:val="000000" w:themeColor="text1"/>
          <w:sz w:val="28"/>
          <w:szCs w:val="28"/>
          <w:lang w:eastAsia="zh-CN"/>
        </w:rPr>
        <w:t>внутрішньому документі);</w:t>
      </w:r>
    </w:p>
    <w:p w14:paraId="5D22669C" w14:textId="77777777" w:rsidR="00356D4D" w:rsidRPr="00D30137" w:rsidRDefault="00356D4D" w:rsidP="00F30447">
      <w:pPr>
        <w:pStyle w:val="a6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eastAsia="zh-CN"/>
        </w:rPr>
      </w:pPr>
      <w:r w:rsidRPr="00D30137">
        <w:rPr>
          <w:color w:val="000000" w:themeColor="text1"/>
          <w:sz w:val="28"/>
          <w:szCs w:val="28"/>
          <w:lang w:eastAsia="zh-CN"/>
        </w:rPr>
        <w:t xml:space="preserve">вимоги до організаційної структури </w:t>
      </w:r>
      <w:r w:rsidRPr="0008356B">
        <w:rPr>
          <w:color w:val="000000" w:themeColor="text1"/>
          <w:sz w:val="28"/>
          <w:szCs w:val="28"/>
          <w:lang w:eastAsia="zh-CN"/>
        </w:rPr>
        <w:t>надавачів фінансових</w:t>
      </w:r>
      <w:r w:rsidRPr="00D30137">
        <w:rPr>
          <w:color w:val="000000" w:themeColor="text1"/>
          <w:sz w:val="28"/>
          <w:szCs w:val="28"/>
          <w:lang w:eastAsia="zh-CN"/>
        </w:rPr>
        <w:t xml:space="preserve"> послуг, яка повинна будуватись з урахуванням системи трьох ліній внутрішнього контролю;</w:t>
      </w:r>
    </w:p>
    <w:p w14:paraId="0BC74B5D" w14:textId="77777777" w:rsidR="00356D4D" w:rsidRPr="00D30137" w:rsidRDefault="00356D4D" w:rsidP="00F30447">
      <w:pPr>
        <w:pStyle w:val="a6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eastAsia="zh-CN"/>
        </w:rPr>
      </w:pPr>
      <w:r w:rsidRPr="00D30137">
        <w:rPr>
          <w:color w:val="000000" w:themeColor="text1"/>
          <w:sz w:val="28"/>
          <w:szCs w:val="28"/>
          <w:lang w:eastAsia="zh-CN"/>
        </w:rPr>
        <w:t>суб’єктів внутрішнього контролю;</w:t>
      </w:r>
    </w:p>
    <w:p w14:paraId="77A2D658" w14:textId="77777777" w:rsidR="00356D4D" w:rsidRPr="00D30137" w:rsidRDefault="00C46B67" w:rsidP="00F30447">
      <w:pPr>
        <w:pStyle w:val="a6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eastAsia="zh-CN"/>
        </w:rPr>
      </w:pPr>
      <w:r w:rsidRPr="00D30137">
        <w:rPr>
          <w:color w:val="000000" w:themeColor="text1"/>
          <w:sz w:val="28"/>
          <w:szCs w:val="28"/>
          <w:lang w:eastAsia="zh-CN"/>
        </w:rPr>
        <w:t>компоненти системи внутрішнього контролю, а саме: контрольне середовище, оцінку ризиків, контрольну діяльність, контроль за інформаційними потоками та комунікаціями та моніторинг ефективності;</w:t>
      </w:r>
    </w:p>
    <w:p w14:paraId="3D05EA93" w14:textId="77777777" w:rsidR="00C46B67" w:rsidRPr="00D30137" w:rsidRDefault="00C46B67" w:rsidP="00F30447">
      <w:pPr>
        <w:pStyle w:val="a6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eastAsia="zh-CN"/>
        </w:rPr>
      </w:pPr>
      <w:r w:rsidRPr="00D30137">
        <w:rPr>
          <w:color w:val="000000" w:themeColor="text1"/>
          <w:sz w:val="28"/>
          <w:szCs w:val="28"/>
          <w:lang w:eastAsia="zh-CN"/>
        </w:rPr>
        <w:t xml:space="preserve">заходи, дотримання яких свідчить про належне впровадження та функціонування кожного з компонентів системи внутрішнього контролю; </w:t>
      </w:r>
    </w:p>
    <w:p w14:paraId="2704E5F1" w14:textId="77777777" w:rsidR="00C46B67" w:rsidRPr="00D30137" w:rsidRDefault="006C7EBE" w:rsidP="00F30447">
      <w:pPr>
        <w:pStyle w:val="a6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eastAsia="zh-CN"/>
        </w:rPr>
      </w:pPr>
      <w:r w:rsidRPr="00D30137">
        <w:rPr>
          <w:color w:val="000000" w:themeColor="text1"/>
          <w:sz w:val="28"/>
          <w:szCs w:val="28"/>
          <w:lang w:eastAsia="zh-CN"/>
        </w:rPr>
        <w:t>основні вимоги до організації системи внутрішнього контролю в небанківських фінансових групах.</w:t>
      </w:r>
    </w:p>
    <w:p w14:paraId="01F60E8B" w14:textId="77777777" w:rsidR="00F03EEB" w:rsidRPr="00D30137" w:rsidRDefault="00F03EEB" w:rsidP="006C7EBE">
      <w:pPr>
        <w:widowControl w:val="0"/>
        <w:rPr>
          <w:color w:val="000000" w:themeColor="text1"/>
          <w:lang w:eastAsia="zh-CN"/>
        </w:rPr>
      </w:pPr>
    </w:p>
    <w:p w14:paraId="5798A29E" w14:textId="77777777" w:rsidR="00672E4B" w:rsidRPr="00D30137" w:rsidRDefault="00672E4B" w:rsidP="00672E4B">
      <w:pPr>
        <w:widowControl w:val="0"/>
        <w:ind w:firstLine="686"/>
        <w:rPr>
          <w:rFonts w:eastAsia="Arial Unicode MS"/>
          <w:b/>
          <w:color w:val="000000" w:themeColor="text1"/>
          <w:lang w:eastAsia="zh-CN"/>
        </w:rPr>
      </w:pPr>
      <w:r w:rsidRPr="00D30137">
        <w:rPr>
          <w:rFonts w:eastAsia="Arial Unicode MS"/>
          <w:b/>
          <w:color w:val="000000" w:themeColor="text1"/>
          <w:lang w:eastAsia="zh-CN"/>
        </w:rPr>
        <w:t xml:space="preserve">V. Обґрунтування можливості досягнення визначених цілей у разі прийняття регуляторного </w:t>
      </w:r>
      <w:proofErr w:type="spellStart"/>
      <w:r w:rsidRPr="00D30137">
        <w:rPr>
          <w:rFonts w:eastAsia="Arial Unicode MS"/>
          <w:b/>
          <w:color w:val="000000" w:themeColor="text1"/>
          <w:lang w:eastAsia="zh-CN"/>
        </w:rPr>
        <w:t>акта</w:t>
      </w:r>
      <w:proofErr w:type="spellEnd"/>
    </w:p>
    <w:p w14:paraId="15A3631E" w14:textId="77777777" w:rsidR="00672E4B" w:rsidRPr="00D30137" w:rsidRDefault="00672E4B" w:rsidP="00672E4B">
      <w:pPr>
        <w:widowControl w:val="0"/>
        <w:shd w:val="clear" w:color="auto" w:fill="FFFFFF"/>
        <w:ind w:firstLine="686"/>
        <w:rPr>
          <w:color w:val="000000" w:themeColor="text1"/>
          <w:lang w:eastAsia="ru-RU"/>
        </w:rPr>
      </w:pPr>
      <w:r w:rsidRPr="00D30137">
        <w:rPr>
          <w:color w:val="000000" w:themeColor="text1"/>
          <w:lang w:eastAsia="ru-RU"/>
        </w:rPr>
        <w:t xml:space="preserve">Вимоги регуляторного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 xml:space="preserve"> </w:t>
      </w:r>
      <w:r w:rsidR="00C20BB7" w:rsidRPr="00D30137">
        <w:rPr>
          <w:color w:val="000000" w:themeColor="text1"/>
          <w:lang w:eastAsia="ru-RU"/>
        </w:rPr>
        <w:t>обов’язков</w:t>
      </w:r>
      <w:r w:rsidR="00C20BB7">
        <w:rPr>
          <w:color w:val="000000" w:themeColor="text1"/>
          <w:lang w:eastAsia="ru-RU"/>
        </w:rPr>
        <w:t>і</w:t>
      </w:r>
      <w:r w:rsidR="00C20BB7" w:rsidRPr="00D30137">
        <w:rPr>
          <w:color w:val="000000" w:themeColor="text1"/>
          <w:lang w:eastAsia="ru-RU"/>
        </w:rPr>
        <w:t xml:space="preserve"> д</w:t>
      </w:r>
      <w:r w:rsidR="00C20BB7">
        <w:rPr>
          <w:color w:val="000000" w:themeColor="text1"/>
          <w:lang w:eastAsia="ru-RU"/>
        </w:rPr>
        <w:t>ля</w:t>
      </w:r>
      <w:r w:rsidR="00C20BB7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виконання </w:t>
      </w:r>
      <w:r w:rsidR="006C7EBE" w:rsidRPr="00D30137">
        <w:rPr>
          <w:color w:val="000000" w:themeColor="text1"/>
          <w:lang w:eastAsia="ru-RU"/>
        </w:rPr>
        <w:t>надавачами фінансових послуг та небанківськими фінансовими групами</w:t>
      </w:r>
      <w:r w:rsidRPr="00D30137">
        <w:rPr>
          <w:color w:val="000000" w:themeColor="text1"/>
          <w:szCs w:val="24"/>
        </w:rPr>
        <w:t>. Такі вимоги</w:t>
      </w:r>
      <w:r w:rsidRPr="00D30137">
        <w:rPr>
          <w:color w:val="000000" w:themeColor="text1"/>
          <w:lang w:eastAsia="ru-RU"/>
        </w:rPr>
        <w:t xml:space="preserve"> не потребують суттєвого та/або тривалого за часом </w:t>
      </w:r>
      <w:r w:rsidR="00C20BB7">
        <w:rPr>
          <w:color w:val="000000" w:themeColor="text1"/>
          <w:lang w:eastAsia="ru-RU"/>
        </w:rPr>
        <w:t>у</w:t>
      </w:r>
      <w:r w:rsidR="00C20BB7" w:rsidRPr="00D30137">
        <w:rPr>
          <w:color w:val="000000" w:themeColor="text1"/>
          <w:lang w:eastAsia="ru-RU"/>
        </w:rPr>
        <w:t xml:space="preserve">провадження </w:t>
      </w:r>
      <w:r w:rsidRPr="00D30137">
        <w:rPr>
          <w:color w:val="000000" w:themeColor="text1"/>
          <w:lang w:eastAsia="ru-RU"/>
        </w:rPr>
        <w:t xml:space="preserve">змін до звичайної діяльності суб’єктів, на яких поширюватиметься дія регуляторного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 xml:space="preserve">. </w:t>
      </w:r>
    </w:p>
    <w:p w14:paraId="381E269A" w14:textId="77777777" w:rsidR="00672E4B" w:rsidRPr="00D30137" w:rsidRDefault="00672E4B" w:rsidP="00672E4B">
      <w:pPr>
        <w:widowControl w:val="0"/>
        <w:ind w:firstLine="686"/>
        <w:rPr>
          <w:color w:val="000000" w:themeColor="text1"/>
          <w:lang w:eastAsia="ru-RU"/>
        </w:rPr>
      </w:pPr>
      <w:r w:rsidRPr="00D30137">
        <w:rPr>
          <w:color w:val="000000" w:themeColor="text1"/>
          <w:lang w:eastAsia="ru-RU"/>
        </w:rPr>
        <w:t xml:space="preserve">Ризик як негативного, так і позитивного впливу зовнішніх чинників на дію цього регуляторного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 xml:space="preserve"> потенційно зумовлюється переважно змінами в законодавчих актах України, що може призвести до потреби внесення </w:t>
      </w:r>
      <w:r w:rsidRPr="00D30137">
        <w:rPr>
          <w:color w:val="000000" w:themeColor="text1"/>
          <w:lang w:eastAsia="ru-RU"/>
        </w:rPr>
        <w:lastRenderedPageBreak/>
        <w:t xml:space="preserve">додаткових змін до цього регуляторного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>.</w:t>
      </w:r>
    </w:p>
    <w:p w14:paraId="77BBBE54" w14:textId="77777777" w:rsidR="00E43037" w:rsidRPr="00D30137" w:rsidRDefault="00E43037" w:rsidP="00E43037">
      <w:pPr>
        <w:widowControl w:val="0"/>
        <w:ind w:firstLine="686"/>
        <w:rPr>
          <w:color w:val="000000" w:themeColor="text1"/>
        </w:rPr>
      </w:pPr>
      <w:r w:rsidRPr="00D30137">
        <w:rPr>
          <w:color w:val="000000" w:themeColor="text1"/>
        </w:rPr>
        <w:t xml:space="preserve">Упровадження вимог такого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 xml:space="preserve"> не потребує додаткових витрат Національного банку, оскільки здійснюється в межах його повноважень.</w:t>
      </w:r>
      <w:r w:rsidR="003E7C4F" w:rsidRPr="00D30137">
        <w:rPr>
          <w:color w:val="000000" w:themeColor="text1"/>
        </w:rPr>
        <w:t xml:space="preserve"> Також вбачається, що особам, на яких поширюватимуться вимоги регуляторного </w:t>
      </w:r>
      <w:proofErr w:type="spellStart"/>
      <w:r w:rsidR="0066330F" w:rsidRPr="00D30137">
        <w:rPr>
          <w:color w:val="000000" w:themeColor="text1"/>
        </w:rPr>
        <w:t>акт</w:t>
      </w:r>
      <w:r w:rsidR="0066330F">
        <w:rPr>
          <w:color w:val="000000" w:themeColor="text1"/>
        </w:rPr>
        <w:t>а</w:t>
      </w:r>
      <w:proofErr w:type="spellEnd"/>
      <w:r w:rsidR="006C6DBB">
        <w:rPr>
          <w:color w:val="000000" w:themeColor="text1"/>
        </w:rPr>
        <w:t>,</w:t>
      </w:r>
      <w:r w:rsidR="0066330F" w:rsidRPr="00D30137">
        <w:rPr>
          <w:color w:val="000000" w:themeColor="text1"/>
        </w:rPr>
        <w:t xml:space="preserve"> </w:t>
      </w:r>
      <w:r w:rsidR="003E7C4F" w:rsidRPr="00D30137">
        <w:rPr>
          <w:color w:val="000000" w:themeColor="text1"/>
        </w:rPr>
        <w:t xml:space="preserve">не буде завдано шкоди </w:t>
      </w:r>
      <w:r w:rsidR="006C6DBB">
        <w:rPr>
          <w:color w:val="000000" w:themeColor="text1"/>
        </w:rPr>
        <w:t>в</w:t>
      </w:r>
      <w:r w:rsidR="006C6DBB" w:rsidRPr="00D30137">
        <w:rPr>
          <w:color w:val="000000" w:themeColor="text1"/>
        </w:rPr>
        <w:t xml:space="preserve"> </w:t>
      </w:r>
      <w:r w:rsidR="003E7C4F" w:rsidRPr="00D30137">
        <w:rPr>
          <w:color w:val="000000" w:themeColor="text1"/>
        </w:rPr>
        <w:t xml:space="preserve">разі настання очікуваних </w:t>
      </w:r>
      <w:r w:rsidR="0050167F">
        <w:rPr>
          <w:color w:val="000000" w:themeColor="text1"/>
        </w:rPr>
        <w:t>результатів</w:t>
      </w:r>
      <w:r w:rsidR="0050167F" w:rsidRPr="00D30137">
        <w:rPr>
          <w:color w:val="000000" w:themeColor="text1"/>
        </w:rPr>
        <w:t xml:space="preserve"> </w:t>
      </w:r>
      <w:r w:rsidR="003E7C4F" w:rsidRPr="00D30137">
        <w:rPr>
          <w:color w:val="000000" w:themeColor="text1"/>
        </w:rPr>
        <w:t xml:space="preserve">дії цього </w:t>
      </w:r>
      <w:proofErr w:type="spellStart"/>
      <w:r w:rsidR="003E7C4F" w:rsidRPr="00D30137">
        <w:rPr>
          <w:color w:val="000000" w:themeColor="text1"/>
        </w:rPr>
        <w:t>акта</w:t>
      </w:r>
      <w:proofErr w:type="spellEnd"/>
      <w:r w:rsidR="003E7C4F" w:rsidRPr="00D30137">
        <w:rPr>
          <w:color w:val="000000" w:themeColor="text1"/>
        </w:rPr>
        <w:t>.</w:t>
      </w:r>
    </w:p>
    <w:p w14:paraId="78819B4B" w14:textId="77777777" w:rsidR="00E43037" w:rsidRPr="00D30137" w:rsidRDefault="00E43037" w:rsidP="00E43037">
      <w:pPr>
        <w:widowControl w:val="0"/>
        <w:ind w:firstLine="686"/>
        <w:rPr>
          <w:color w:val="000000" w:themeColor="text1"/>
          <w:lang w:eastAsia="ru-RU"/>
        </w:rPr>
      </w:pPr>
      <w:r w:rsidRPr="00D30137">
        <w:rPr>
          <w:color w:val="000000" w:themeColor="text1"/>
          <w:lang w:eastAsia="ru-RU"/>
        </w:rPr>
        <w:t xml:space="preserve">Здійснення державного контролю та нагляду за додержанням вимог регуляторного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 xml:space="preserve"> відбуватиметься в межах здійснення Національним банком наглядової діяльності на ринку небанківських фінансових послуг на індивідуальній та консолідованій основі з періодичністю, визначеною відповідними нормативно-правовими актами</w:t>
      </w:r>
      <w:r w:rsidR="0050167F">
        <w:rPr>
          <w:color w:val="000000" w:themeColor="text1"/>
          <w:lang w:eastAsia="ru-RU"/>
        </w:rPr>
        <w:t xml:space="preserve"> Національного банку</w:t>
      </w:r>
      <w:r w:rsidRPr="00D30137">
        <w:rPr>
          <w:color w:val="000000" w:themeColor="text1"/>
          <w:lang w:eastAsia="ru-RU"/>
        </w:rPr>
        <w:t>.</w:t>
      </w:r>
    </w:p>
    <w:p w14:paraId="1F2F72FA" w14:textId="77777777" w:rsidR="00672E4B" w:rsidRPr="00D30137" w:rsidRDefault="00672E4B" w:rsidP="00672E4B">
      <w:pPr>
        <w:widowControl w:val="0"/>
        <w:ind w:firstLine="686"/>
        <w:rPr>
          <w:color w:val="000000" w:themeColor="text1"/>
        </w:rPr>
      </w:pPr>
    </w:p>
    <w:p w14:paraId="7A5A957E" w14:textId="77777777" w:rsidR="00672E4B" w:rsidRPr="00D30137" w:rsidRDefault="00672E4B" w:rsidP="00672E4B">
      <w:pPr>
        <w:widowControl w:val="0"/>
        <w:ind w:firstLine="686"/>
        <w:rPr>
          <w:b/>
          <w:color w:val="000000" w:themeColor="text1"/>
          <w:lang w:eastAsia="zh-CN"/>
        </w:rPr>
      </w:pPr>
      <w:r w:rsidRPr="00D30137">
        <w:rPr>
          <w:b/>
          <w:color w:val="000000" w:themeColor="text1"/>
          <w:lang w:eastAsia="zh-CN"/>
        </w:rPr>
        <w:t xml:space="preserve">VI. Визначення очікуваних результатів прийняття </w:t>
      </w:r>
      <w:proofErr w:type="spellStart"/>
      <w:r w:rsidRPr="00D30137">
        <w:rPr>
          <w:b/>
          <w:color w:val="000000" w:themeColor="text1"/>
          <w:lang w:eastAsia="zh-CN"/>
        </w:rPr>
        <w:t>акта</w:t>
      </w:r>
      <w:proofErr w:type="spellEnd"/>
    </w:p>
    <w:p w14:paraId="0025F737" w14:textId="77777777" w:rsidR="00672E4B" w:rsidRPr="00D30137" w:rsidRDefault="00672E4B" w:rsidP="00672E4B">
      <w:pPr>
        <w:ind w:firstLine="686"/>
        <w:rPr>
          <w:color w:val="000000" w:themeColor="text1"/>
        </w:rPr>
      </w:pPr>
      <w:r w:rsidRPr="00D30137">
        <w:rPr>
          <w:color w:val="000000" w:themeColor="text1"/>
        </w:rPr>
        <w:t xml:space="preserve">За результатами визначення очікуваних результатів прийняття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 xml:space="preserve"> протягом усього строку його дії можна виокремити такі </w:t>
      </w:r>
      <w:r w:rsidR="0050167F">
        <w:rPr>
          <w:color w:val="000000" w:themeColor="text1"/>
        </w:rPr>
        <w:t>результати</w:t>
      </w:r>
      <w:r w:rsidR="0050167F" w:rsidRPr="00D30137">
        <w:rPr>
          <w:color w:val="000000" w:themeColor="text1"/>
        </w:rPr>
        <w:t xml:space="preserve"> </w:t>
      </w:r>
      <w:r w:rsidRPr="00D30137">
        <w:rPr>
          <w:color w:val="000000" w:themeColor="text1"/>
        </w:rPr>
        <w:t xml:space="preserve">його дії для суб’єктів, на яких поширюється дія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>.</w:t>
      </w:r>
    </w:p>
    <w:p w14:paraId="4B89B6F2" w14:textId="77777777" w:rsidR="00672E4B" w:rsidRPr="00D30137" w:rsidRDefault="00672E4B" w:rsidP="00672E4B">
      <w:pPr>
        <w:ind w:firstLine="686"/>
        <w:rPr>
          <w:color w:val="000000" w:themeColor="text1"/>
        </w:rPr>
      </w:pPr>
      <w:r w:rsidRPr="00D30137">
        <w:rPr>
          <w:color w:val="000000" w:themeColor="text1"/>
        </w:rPr>
        <w:t xml:space="preserve">Основними позитивними </w:t>
      </w:r>
      <w:r w:rsidR="0050167F">
        <w:rPr>
          <w:color w:val="000000" w:themeColor="text1"/>
        </w:rPr>
        <w:t>результатами</w:t>
      </w:r>
      <w:r w:rsidR="0050167F" w:rsidRPr="00D30137">
        <w:rPr>
          <w:color w:val="000000" w:themeColor="text1"/>
        </w:rPr>
        <w:t xml:space="preserve"> </w:t>
      </w:r>
      <w:r w:rsidRPr="00D30137">
        <w:rPr>
          <w:color w:val="000000" w:themeColor="text1"/>
        </w:rPr>
        <w:t xml:space="preserve">дії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 xml:space="preserve"> є: </w:t>
      </w:r>
    </w:p>
    <w:p w14:paraId="7D3C4411" w14:textId="77777777" w:rsidR="00672E4B" w:rsidRPr="00D30137" w:rsidRDefault="00CF407E" w:rsidP="003E7C4F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D30137">
        <w:rPr>
          <w:color w:val="000000" w:themeColor="text1"/>
          <w:sz w:val="28"/>
          <w:szCs w:val="28"/>
        </w:rPr>
        <w:t xml:space="preserve">становлення </w:t>
      </w:r>
      <w:r w:rsidR="003E7C4F" w:rsidRPr="00D30137">
        <w:rPr>
          <w:color w:val="000000" w:themeColor="text1"/>
          <w:sz w:val="28"/>
          <w:szCs w:val="28"/>
        </w:rPr>
        <w:t xml:space="preserve">основних цілей та засад організації та функціонування якісної та ефективної системи внутрішнього контролю </w:t>
      </w:r>
      <w:r>
        <w:rPr>
          <w:color w:val="000000" w:themeColor="text1"/>
          <w:sz w:val="28"/>
          <w:szCs w:val="28"/>
        </w:rPr>
        <w:t>в</w:t>
      </w:r>
      <w:r w:rsidRPr="00D30137">
        <w:rPr>
          <w:color w:val="000000" w:themeColor="text1"/>
          <w:sz w:val="28"/>
          <w:szCs w:val="28"/>
        </w:rPr>
        <w:t xml:space="preserve"> </w:t>
      </w:r>
      <w:r w:rsidR="003E7C4F" w:rsidRPr="001C7639">
        <w:rPr>
          <w:color w:val="000000" w:themeColor="text1"/>
          <w:sz w:val="28"/>
          <w:szCs w:val="28"/>
        </w:rPr>
        <w:t>надавачах фінансових</w:t>
      </w:r>
      <w:r w:rsidR="003E7C4F" w:rsidRPr="00D30137">
        <w:rPr>
          <w:color w:val="000000" w:themeColor="text1"/>
          <w:sz w:val="28"/>
          <w:szCs w:val="28"/>
        </w:rPr>
        <w:t xml:space="preserve"> послуг та небанківських фінансових групах;</w:t>
      </w:r>
    </w:p>
    <w:p w14:paraId="0C0C4CD2" w14:textId="77777777" w:rsidR="003E7C4F" w:rsidRPr="00D30137" w:rsidRDefault="000A7C9D" w:rsidP="003E7C4F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30137">
        <w:rPr>
          <w:color w:val="000000" w:themeColor="text1"/>
          <w:sz w:val="28"/>
          <w:szCs w:val="28"/>
        </w:rPr>
        <w:t xml:space="preserve">чітке </w:t>
      </w:r>
      <w:r w:rsidR="00414D92" w:rsidRPr="00D30137">
        <w:rPr>
          <w:color w:val="000000" w:themeColor="text1"/>
          <w:sz w:val="28"/>
          <w:szCs w:val="28"/>
        </w:rPr>
        <w:t xml:space="preserve">встановлення </w:t>
      </w:r>
      <w:r w:rsidRPr="00D30137">
        <w:rPr>
          <w:color w:val="000000" w:themeColor="text1"/>
          <w:sz w:val="28"/>
          <w:szCs w:val="28"/>
        </w:rPr>
        <w:t xml:space="preserve">вимог до розподілу повноважень суб’єктів внутрішнього контролю в </w:t>
      </w:r>
      <w:r w:rsidR="0050167F">
        <w:rPr>
          <w:color w:val="000000" w:themeColor="text1"/>
          <w:sz w:val="28"/>
          <w:szCs w:val="28"/>
        </w:rPr>
        <w:t>меж</w:t>
      </w:r>
      <w:r w:rsidR="0050167F" w:rsidRPr="00D30137">
        <w:rPr>
          <w:color w:val="000000" w:themeColor="text1"/>
          <w:sz w:val="28"/>
          <w:szCs w:val="28"/>
        </w:rPr>
        <w:t xml:space="preserve">ах </w:t>
      </w:r>
      <w:r w:rsidRPr="00D30137">
        <w:rPr>
          <w:color w:val="000000" w:themeColor="text1"/>
          <w:sz w:val="28"/>
          <w:szCs w:val="28"/>
        </w:rPr>
        <w:t>системи трьох ліній внутрішнього контролю;</w:t>
      </w:r>
    </w:p>
    <w:p w14:paraId="4EEBC584" w14:textId="77777777" w:rsidR="000A7C9D" w:rsidRPr="00D30137" w:rsidRDefault="000A7C9D" w:rsidP="003E7C4F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30137">
        <w:rPr>
          <w:color w:val="000000" w:themeColor="text1"/>
          <w:sz w:val="28"/>
          <w:szCs w:val="28"/>
        </w:rPr>
        <w:t>чітке визначення вимог до запровадження надавачами фінансових послуг та небанківськими фінансовими групами систем внутрішнього контролю;</w:t>
      </w:r>
    </w:p>
    <w:p w14:paraId="46053FC1" w14:textId="77777777" w:rsidR="000A7C9D" w:rsidRPr="00D30137" w:rsidRDefault="000A7C9D" w:rsidP="003E7C4F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30137">
        <w:rPr>
          <w:color w:val="000000" w:themeColor="text1"/>
          <w:sz w:val="28"/>
          <w:szCs w:val="28"/>
        </w:rPr>
        <w:t xml:space="preserve">прийняття нових та вдосконалення внутрішніх документів </w:t>
      </w:r>
      <w:r w:rsidRPr="0008356B">
        <w:rPr>
          <w:color w:val="000000" w:themeColor="text1"/>
          <w:sz w:val="28"/>
          <w:szCs w:val="28"/>
        </w:rPr>
        <w:t>надавачів фінансових</w:t>
      </w:r>
      <w:r w:rsidRPr="00D30137">
        <w:rPr>
          <w:color w:val="000000" w:themeColor="text1"/>
          <w:sz w:val="28"/>
          <w:szCs w:val="28"/>
        </w:rPr>
        <w:t xml:space="preserve"> послуг, зокрема, шляхом урегулювання питань внутрішнього контролю та розподілу повноважень.</w:t>
      </w:r>
    </w:p>
    <w:p w14:paraId="526BB10B" w14:textId="77777777" w:rsidR="003E7C4F" w:rsidRPr="00D30137" w:rsidRDefault="003E7C4F" w:rsidP="003E7C4F">
      <w:pPr>
        <w:ind w:firstLine="686"/>
        <w:rPr>
          <w:color w:val="000000" w:themeColor="text1"/>
        </w:rPr>
      </w:pPr>
      <w:r w:rsidRPr="00D30137">
        <w:rPr>
          <w:color w:val="000000" w:themeColor="text1"/>
        </w:rPr>
        <w:t xml:space="preserve">Можливі негативні наслідки дії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 xml:space="preserve"> – витрати надавачів фінансових послуг, пов’язані з потребою зміни процесів, у тому числі </w:t>
      </w:r>
      <w:r w:rsidR="000A7C9D" w:rsidRPr="00D30137">
        <w:rPr>
          <w:color w:val="000000" w:themeColor="text1"/>
        </w:rPr>
        <w:t xml:space="preserve">здійснення </w:t>
      </w:r>
      <w:r w:rsidRPr="00D30137">
        <w:rPr>
          <w:color w:val="000000" w:themeColor="text1"/>
        </w:rPr>
        <w:t>контролю, розроблення нових внутрішніх документів; для учасників небанківських фінансових груп – надання інформації відповідальній особі та Національному банку.</w:t>
      </w:r>
    </w:p>
    <w:p w14:paraId="0873DC59" w14:textId="77777777" w:rsidR="003E7C4F" w:rsidRPr="00D30137" w:rsidRDefault="003E7C4F" w:rsidP="003E7C4F">
      <w:pPr>
        <w:ind w:firstLine="686"/>
        <w:rPr>
          <w:color w:val="000000" w:themeColor="text1"/>
        </w:rPr>
      </w:pPr>
      <w:r w:rsidRPr="00D30137">
        <w:rPr>
          <w:color w:val="000000" w:themeColor="text1"/>
        </w:rPr>
        <w:t xml:space="preserve">Зважаючи на обсяг дій, які потрібно здійснювати надавачам фінансових послуг із метою виконання вимог і рекомендацій щодо побудови системи </w:t>
      </w:r>
      <w:r w:rsidR="0006658D" w:rsidRPr="00D30137">
        <w:rPr>
          <w:color w:val="000000" w:themeColor="text1"/>
        </w:rPr>
        <w:t>внутрішнього контролю</w:t>
      </w:r>
      <w:r w:rsidRPr="00D30137">
        <w:rPr>
          <w:color w:val="000000" w:themeColor="text1"/>
        </w:rPr>
        <w:t xml:space="preserve">, визначених </w:t>
      </w:r>
      <w:proofErr w:type="spellStart"/>
      <w:r w:rsidRPr="00D30137">
        <w:rPr>
          <w:color w:val="000000" w:themeColor="text1"/>
        </w:rPr>
        <w:t>проєктом</w:t>
      </w:r>
      <w:proofErr w:type="spellEnd"/>
      <w:r w:rsidRPr="00D30137">
        <w:rPr>
          <w:color w:val="000000" w:themeColor="text1"/>
        </w:rPr>
        <w:t xml:space="preserve">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>, передбачається встановлення терміну</w:t>
      </w:r>
      <w:r w:rsidR="0006658D" w:rsidRPr="00D30137">
        <w:rPr>
          <w:color w:val="000000" w:themeColor="text1"/>
        </w:rPr>
        <w:t>, достатнього</w:t>
      </w:r>
      <w:r w:rsidRPr="00D30137">
        <w:rPr>
          <w:color w:val="000000" w:themeColor="text1"/>
        </w:rPr>
        <w:t xml:space="preserve"> для приведення </w:t>
      </w:r>
      <w:r w:rsidR="0006658D" w:rsidRPr="00D30137">
        <w:rPr>
          <w:color w:val="000000" w:themeColor="text1"/>
        </w:rPr>
        <w:t>такими особами своєї</w:t>
      </w:r>
      <w:r w:rsidRPr="00D30137">
        <w:rPr>
          <w:color w:val="000000" w:themeColor="text1"/>
        </w:rPr>
        <w:t xml:space="preserve"> діяльності у відповідність до </w:t>
      </w:r>
      <w:r w:rsidR="0006658D" w:rsidRPr="00D30137">
        <w:rPr>
          <w:color w:val="000000" w:themeColor="text1"/>
        </w:rPr>
        <w:t xml:space="preserve">вимог регуляторного </w:t>
      </w:r>
      <w:proofErr w:type="spellStart"/>
      <w:r w:rsidR="0006658D"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>.</w:t>
      </w:r>
    </w:p>
    <w:p w14:paraId="5FD904A4" w14:textId="77777777" w:rsidR="00672E4B" w:rsidRPr="00D30137" w:rsidRDefault="003E7C4F" w:rsidP="003E7C4F">
      <w:pPr>
        <w:ind w:firstLine="686"/>
        <w:rPr>
          <w:color w:val="000000" w:themeColor="text1"/>
        </w:rPr>
      </w:pPr>
      <w:r w:rsidRPr="00D30137">
        <w:rPr>
          <w:color w:val="000000" w:themeColor="text1"/>
        </w:rPr>
        <w:t xml:space="preserve">Отже, очікувані результати прийняття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 xml:space="preserve"> </w:t>
      </w:r>
      <w:r w:rsidR="0050167F">
        <w:rPr>
          <w:color w:val="000000" w:themeColor="text1"/>
        </w:rPr>
        <w:t>буду</w:t>
      </w:r>
      <w:r w:rsidRPr="00D30137">
        <w:rPr>
          <w:color w:val="000000" w:themeColor="text1"/>
        </w:rPr>
        <w:t xml:space="preserve">ть позитивні для всіх суб’єктів, на </w:t>
      </w:r>
      <w:r w:rsidR="0050167F" w:rsidRPr="00D30137">
        <w:rPr>
          <w:color w:val="000000" w:themeColor="text1"/>
        </w:rPr>
        <w:t>як</w:t>
      </w:r>
      <w:r w:rsidR="0050167F">
        <w:rPr>
          <w:color w:val="000000" w:themeColor="text1"/>
        </w:rPr>
        <w:t>их</w:t>
      </w:r>
      <w:r w:rsidR="0050167F" w:rsidRPr="00D30137">
        <w:rPr>
          <w:color w:val="000000" w:themeColor="text1"/>
        </w:rPr>
        <w:t xml:space="preserve"> </w:t>
      </w:r>
      <w:r w:rsidRPr="00D30137">
        <w:rPr>
          <w:color w:val="000000" w:themeColor="text1"/>
        </w:rPr>
        <w:t xml:space="preserve">поширюється дія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>.</w:t>
      </w:r>
    </w:p>
    <w:p w14:paraId="2393FE44" w14:textId="77777777" w:rsidR="0006658D" w:rsidRDefault="0006658D" w:rsidP="003E7C4F">
      <w:pPr>
        <w:ind w:firstLine="686"/>
        <w:rPr>
          <w:color w:val="000000" w:themeColor="text1"/>
        </w:rPr>
      </w:pPr>
    </w:p>
    <w:p w14:paraId="7F8E45C0" w14:textId="77777777" w:rsidR="00591C9D" w:rsidRPr="00D30137" w:rsidRDefault="00591C9D" w:rsidP="003E7C4F">
      <w:pPr>
        <w:ind w:firstLine="686"/>
        <w:rPr>
          <w:color w:val="000000" w:themeColor="text1"/>
        </w:rPr>
      </w:pPr>
    </w:p>
    <w:p w14:paraId="1016C8CB" w14:textId="77777777" w:rsidR="00672E4B" w:rsidRPr="00D30137" w:rsidRDefault="00672E4B" w:rsidP="00672E4B">
      <w:pPr>
        <w:ind w:firstLine="686"/>
        <w:rPr>
          <w:b/>
          <w:color w:val="000000" w:themeColor="text1"/>
          <w:lang w:eastAsia="zh-CN"/>
        </w:rPr>
      </w:pPr>
      <w:r w:rsidRPr="00D30137">
        <w:rPr>
          <w:b/>
          <w:color w:val="000000" w:themeColor="text1"/>
          <w:lang w:eastAsia="zh-CN"/>
        </w:rPr>
        <w:lastRenderedPageBreak/>
        <w:t xml:space="preserve">VII. Визначення показників результативності </w:t>
      </w:r>
      <w:proofErr w:type="spellStart"/>
      <w:r w:rsidRPr="00D30137">
        <w:rPr>
          <w:b/>
          <w:color w:val="000000" w:themeColor="text1"/>
          <w:lang w:eastAsia="zh-CN"/>
        </w:rPr>
        <w:t>акта</w:t>
      </w:r>
      <w:proofErr w:type="spellEnd"/>
    </w:p>
    <w:p w14:paraId="5521D8E7" w14:textId="77777777" w:rsidR="00672E4B" w:rsidRPr="00D30137" w:rsidRDefault="00672E4B" w:rsidP="00672E4B">
      <w:pPr>
        <w:ind w:firstLine="686"/>
        <w:rPr>
          <w:color w:val="000000" w:themeColor="text1"/>
          <w:lang w:eastAsia="ru-RU"/>
        </w:rPr>
      </w:pPr>
      <w:r w:rsidRPr="00D30137">
        <w:rPr>
          <w:color w:val="000000" w:themeColor="text1"/>
          <w:lang w:eastAsia="ru-RU"/>
        </w:rPr>
        <w:t xml:space="preserve">Показники результативності регуляторного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 xml:space="preserve"> </w:t>
      </w:r>
      <w:r w:rsidR="0050167F">
        <w:rPr>
          <w:color w:val="000000" w:themeColor="text1"/>
          <w:lang w:eastAsia="ru-RU"/>
        </w:rPr>
        <w:t>такі</w:t>
      </w:r>
      <w:r w:rsidRPr="00D30137">
        <w:rPr>
          <w:color w:val="000000" w:themeColor="text1"/>
          <w:lang w:eastAsia="ru-RU"/>
        </w:rPr>
        <w:t>:</w:t>
      </w:r>
    </w:p>
    <w:p w14:paraId="0E8B08DC" w14:textId="77777777" w:rsidR="00672E4B" w:rsidRPr="00D30137" w:rsidRDefault="00672E4B" w:rsidP="00672E4B">
      <w:pPr>
        <w:ind w:firstLine="686"/>
        <w:rPr>
          <w:color w:val="000000" w:themeColor="text1"/>
          <w:lang w:eastAsia="ru-RU"/>
        </w:rPr>
      </w:pPr>
      <w:bookmarkStart w:id="2" w:name="o57"/>
      <w:bookmarkStart w:id="3" w:name="o60"/>
      <w:bookmarkStart w:id="4" w:name="o62"/>
      <w:bookmarkEnd w:id="2"/>
      <w:bookmarkEnd w:id="3"/>
      <w:bookmarkEnd w:id="4"/>
      <w:r w:rsidRPr="00D30137">
        <w:rPr>
          <w:color w:val="000000" w:themeColor="text1"/>
          <w:lang w:eastAsia="ru-RU"/>
        </w:rPr>
        <w:t xml:space="preserve">1) кількість суб’єктів, на яких поширюватиметься дія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>.</w:t>
      </w:r>
    </w:p>
    <w:p w14:paraId="06DFABD4" w14:textId="77777777" w:rsidR="0006658D" w:rsidRPr="00D30137" w:rsidRDefault="0006658D" w:rsidP="00D97BC9">
      <w:pPr>
        <w:ind w:firstLine="686"/>
        <w:rPr>
          <w:color w:val="000000" w:themeColor="text1"/>
          <w:lang w:eastAsia="ru-RU"/>
        </w:rPr>
      </w:pPr>
      <w:bookmarkStart w:id="5" w:name="_Hlk77928703"/>
      <w:r w:rsidRPr="00D30137">
        <w:rPr>
          <w:color w:val="000000" w:themeColor="text1"/>
          <w:lang w:eastAsia="ru-RU"/>
        </w:rPr>
        <w:t>Станом на 30</w:t>
      </w:r>
      <w:r w:rsidR="00CF407E">
        <w:rPr>
          <w:color w:val="000000" w:themeColor="text1"/>
          <w:lang w:eastAsia="ru-RU"/>
        </w:rPr>
        <w:t>.04.</w:t>
      </w:r>
      <w:r w:rsidRPr="00D30137">
        <w:rPr>
          <w:color w:val="000000" w:themeColor="text1"/>
          <w:lang w:eastAsia="ru-RU"/>
        </w:rPr>
        <w:t xml:space="preserve">2022 на ринку небанківських фінансових послуг </w:t>
      </w:r>
      <w:r w:rsidR="008D33D0">
        <w:rPr>
          <w:color w:val="000000" w:themeColor="text1"/>
          <w:lang w:eastAsia="ru-RU"/>
        </w:rPr>
        <w:t>діяли</w:t>
      </w:r>
      <w:r w:rsidR="00CC1B2C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</w:rPr>
        <w:t>1 664 суб’єкти</w:t>
      </w:r>
      <w:r w:rsidR="001B35E8">
        <w:rPr>
          <w:rFonts w:eastAsia="Calibri"/>
          <w:color w:val="000000" w:themeColor="text1"/>
          <w:lang w:eastAsia="ru-RU"/>
        </w:rPr>
        <w:t xml:space="preserve">, а </w:t>
      </w:r>
      <w:bookmarkEnd w:id="5"/>
      <w:r w:rsidR="001B35E8">
        <w:rPr>
          <w:rFonts w:eastAsia="Calibri"/>
          <w:color w:val="000000" w:themeColor="text1"/>
          <w:lang w:eastAsia="ru-RU"/>
        </w:rPr>
        <w:t xml:space="preserve">також </w:t>
      </w:r>
      <w:r w:rsidR="001B35E8">
        <w:rPr>
          <w:color w:val="000000" w:themeColor="text1"/>
          <w:lang w:eastAsia="ru-RU"/>
        </w:rPr>
        <w:t xml:space="preserve">23 </w:t>
      </w:r>
      <w:r w:rsidRPr="00D30137">
        <w:rPr>
          <w:color w:val="000000" w:themeColor="text1"/>
          <w:lang w:eastAsia="ru-RU"/>
        </w:rPr>
        <w:t xml:space="preserve">небанківські фінансові групи, </w:t>
      </w:r>
      <w:r w:rsidR="00AE3B0A" w:rsidRPr="00D30137">
        <w:rPr>
          <w:color w:val="000000" w:themeColor="text1"/>
          <w:lang w:eastAsia="ru-RU"/>
        </w:rPr>
        <w:t>переважн</w:t>
      </w:r>
      <w:r w:rsidR="00AE3B0A">
        <w:rPr>
          <w:color w:val="000000" w:themeColor="text1"/>
          <w:lang w:eastAsia="ru-RU"/>
        </w:rPr>
        <w:t>о</w:t>
      </w:r>
      <w:r w:rsidR="00AE3B0A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діяльність </w:t>
      </w:r>
      <w:r w:rsidR="00AE3B0A">
        <w:rPr>
          <w:color w:val="000000" w:themeColor="text1"/>
          <w:lang w:eastAsia="ru-RU"/>
        </w:rPr>
        <w:t>в</w:t>
      </w:r>
      <w:r w:rsidR="00AE3B0A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>яких здійсню</w:t>
      </w:r>
      <w:r w:rsidR="00CB2778">
        <w:rPr>
          <w:color w:val="000000" w:themeColor="text1"/>
          <w:lang w:eastAsia="ru-RU"/>
        </w:rPr>
        <w:t>ю</w:t>
      </w:r>
      <w:r w:rsidR="00AE3B0A">
        <w:rPr>
          <w:color w:val="000000" w:themeColor="text1"/>
          <w:lang w:eastAsia="ru-RU"/>
        </w:rPr>
        <w:t>ть</w:t>
      </w:r>
      <w:r w:rsidRPr="00D30137">
        <w:rPr>
          <w:color w:val="000000" w:themeColor="text1"/>
          <w:lang w:eastAsia="ru-RU"/>
        </w:rPr>
        <w:t xml:space="preserve"> </w:t>
      </w:r>
      <w:r w:rsidR="00AE3B0A" w:rsidRPr="00D30137">
        <w:rPr>
          <w:color w:val="000000" w:themeColor="text1"/>
          <w:lang w:eastAsia="ru-RU"/>
        </w:rPr>
        <w:t>фінансов</w:t>
      </w:r>
      <w:r w:rsidR="00AE3B0A">
        <w:rPr>
          <w:color w:val="000000" w:themeColor="text1"/>
          <w:lang w:eastAsia="ru-RU"/>
        </w:rPr>
        <w:t>і</w:t>
      </w:r>
      <w:r w:rsidR="00AE3B0A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>установи, нагляд за якими здійснює Національний банк;</w:t>
      </w:r>
    </w:p>
    <w:p w14:paraId="4DCF9791" w14:textId="77777777" w:rsidR="0006658D" w:rsidRPr="00D30137" w:rsidRDefault="0006658D" w:rsidP="0006658D">
      <w:pPr>
        <w:ind w:firstLine="686"/>
        <w:rPr>
          <w:color w:val="000000" w:themeColor="text1"/>
          <w:lang w:eastAsia="ru-RU"/>
        </w:rPr>
      </w:pPr>
      <w:r w:rsidRPr="00D30137">
        <w:rPr>
          <w:color w:val="000000" w:themeColor="text1"/>
          <w:lang w:eastAsia="ru-RU"/>
        </w:rPr>
        <w:t xml:space="preserve">2) </w:t>
      </w:r>
      <w:r w:rsidR="0030140C" w:rsidRPr="00D30137">
        <w:rPr>
          <w:color w:val="000000" w:themeColor="text1"/>
          <w:lang w:eastAsia="ru-RU"/>
        </w:rPr>
        <w:t>кошт</w:t>
      </w:r>
      <w:r w:rsidR="0030140C">
        <w:rPr>
          <w:color w:val="000000" w:themeColor="text1"/>
          <w:lang w:eastAsia="ru-RU"/>
        </w:rPr>
        <w:t>и</w:t>
      </w:r>
      <w:r w:rsidR="0030140C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і час, що витрачатимуть суб’єкти господарювання та/або </w:t>
      </w:r>
      <w:r w:rsidR="001E61DE" w:rsidRPr="00D30137">
        <w:rPr>
          <w:color w:val="000000" w:themeColor="text1"/>
          <w:lang w:eastAsia="ru-RU"/>
        </w:rPr>
        <w:t>фізичн</w:t>
      </w:r>
      <w:r w:rsidR="001E61DE">
        <w:rPr>
          <w:color w:val="000000" w:themeColor="text1"/>
          <w:lang w:eastAsia="ru-RU"/>
        </w:rPr>
        <w:t>і</w:t>
      </w:r>
      <w:r w:rsidR="001E61DE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особи у зв’язку з виконанням вимог </w:t>
      </w:r>
      <w:proofErr w:type="spellStart"/>
      <w:r w:rsidRPr="00D30137">
        <w:rPr>
          <w:color w:val="000000" w:themeColor="text1"/>
          <w:lang w:eastAsia="ru-RU"/>
        </w:rPr>
        <w:t>акта</w:t>
      </w:r>
      <w:proofErr w:type="spellEnd"/>
      <w:r w:rsidRPr="00D30137">
        <w:rPr>
          <w:color w:val="000000" w:themeColor="text1"/>
          <w:lang w:eastAsia="ru-RU"/>
        </w:rPr>
        <w:t>.</w:t>
      </w:r>
    </w:p>
    <w:p w14:paraId="2FF66E51" w14:textId="0A5573E0" w:rsidR="0006658D" w:rsidRPr="00D30137" w:rsidRDefault="004B71E4" w:rsidP="0006658D">
      <w:pPr>
        <w:ind w:firstLine="709"/>
        <w:rPr>
          <w:color w:val="000000" w:themeColor="text1"/>
          <w:lang w:eastAsia="ru-RU"/>
        </w:rPr>
      </w:pPr>
      <w:r w:rsidRPr="00D30137">
        <w:rPr>
          <w:color w:val="000000" w:themeColor="text1"/>
          <w:lang w:eastAsia="ru-RU"/>
        </w:rPr>
        <w:t xml:space="preserve">Часові витрати надавачів фінансових послуг та небанківських фінансових груп для реалізації вимог </w:t>
      </w:r>
      <w:proofErr w:type="spellStart"/>
      <w:r w:rsidRPr="00D30137">
        <w:rPr>
          <w:color w:val="000000" w:themeColor="text1"/>
          <w:lang w:eastAsia="ru-RU"/>
        </w:rPr>
        <w:t>проєкту</w:t>
      </w:r>
      <w:proofErr w:type="spellEnd"/>
      <w:r w:rsidRPr="00D30137">
        <w:rPr>
          <w:color w:val="000000" w:themeColor="text1"/>
          <w:lang w:eastAsia="ru-RU"/>
        </w:rPr>
        <w:t xml:space="preserve"> постанови можуть становити до дев’яти місяців. Надавач</w:t>
      </w:r>
      <w:r w:rsidR="00E97A3F">
        <w:rPr>
          <w:color w:val="000000" w:themeColor="text1"/>
          <w:lang w:eastAsia="ru-RU"/>
        </w:rPr>
        <w:t>і</w:t>
      </w:r>
      <w:r w:rsidRPr="00D30137">
        <w:rPr>
          <w:color w:val="000000" w:themeColor="text1"/>
          <w:lang w:eastAsia="ru-RU"/>
        </w:rPr>
        <w:t xml:space="preserve"> фінансових послуг та </w:t>
      </w:r>
      <w:r w:rsidR="00E97A3F" w:rsidRPr="00D30137">
        <w:rPr>
          <w:color w:val="000000" w:themeColor="text1"/>
          <w:lang w:eastAsia="ru-RU"/>
        </w:rPr>
        <w:t>небанківськ</w:t>
      </w:r>
      <w:r w:rsidR="00E97A3F">
        <w:rPr>
          <w:color w:val="000000" w:themeColor="text1"/>
          <w:lang w:eastAsia="ru-RU"/>
        </w:rPr>
        <w:t>і</w:t>
      </w:r>
      <w:r w:rsidR="00E97A3F" w:rsidRPr="00D30137">
        <w:rPr>
          <w:color w:val="000000" w:themeColor="text1"/>
          <w:lang w:eastAsia="ru-RU"/>
        </w:rPr>
        <w:t xml:space="preserve"> фінансов</w:t>
      </w:r>
      <w:r w:rsidR="00E97A3F">
        <w:rPr>
          <w:color w:val="000000" w:themeColor="text1"/>
          <w:lang w:eastAsia="ru-RU"/>
        </w:rPr>
        <w:t>і</w:t>
      </w:r>
      <w:r w:rsidR="00E97A3F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>групи можуть  понес</w:t>
      </w:r>
      <w:r w:rsidR="000B5700">
        <w:rPr>
          <w:color w:val="000000" w:themeColor="text1"/>
          <w:lang w:eastAsia="ru-RU"/>
        </w:rPr>
        <w:t>ти</w:t>
      </w:r>
      <w:r w:rsidRPr="00D30137">
        <w:rPr>
          <w:color w:val="000000" w:themeColor="text1"/>
          <w:lang w:eastAsia="ru-RU"/>
        </w:rPr>
        <w:t xml:space="preserve"> витрати, зокрема, </w:t>
      </w:r>
      <w:r w:rsidR="001262C7">
        <w:rPr>
          <w:color w:val="000000" w:themeColor="text1"/>
          <w:lang w:eastAsia="ru-RU"/>
        </w:rPr>
        <w:t>за</w:t>
      </w:r>
      <w:r w:rsidR="000B5700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потреби </w:t>
      </w:r>
      <w:r w:rsidR="001262C7" w:rsidRPr="00D30137">
        <w:rPr>
          <w:color w:val="000000" w:themeColor="text1"/>
          <w:lang w:eastAsia="ru-RU"/>
        </w:rPr>
        <w:t>прийнятт</w:t>
      </w:r>
      <w:r w:rsidR="001262C7">
        <w:rPr>
          <w:color w:val="000000" w:themeColor="text1"/>
          <w:lang w:eastAsia="ru-RU"/>
        </w:rPr>
        <w:t>я</w:t>
      </w:r>
      <w:r w:rsidR="001262C7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нових або зміні </w:t>
      </w:r>
      <w:r w:rsidR="000B5700">
        <w:rPr>
          <w:color w:val="000000" w:themeColor="text1"/>
          <w:lang w:eastAsia="ru-RU"/>
        </w:rPr>
        <w:t>ді</w:t>
      </w:r>
      <w:r w:rsidR="000B5700" w:rsidRPr="00D30137">
        <w:rPr>
          <w:color w:val="000000" w:themeColor="text1"/>
          <w:lang w:eastAsia="ru-RU"/>
        </w:rPr>
        <w:t xml:space="preserve">ючих </w:t>
      </w:r>
      <w:r w:rsidRPr="00D30137">
        <w:rPr>
          <w:color w:val="000000" w:themeColor="text1"/>
          <w:lang w:eastAsia="ru-RU"/>
        </w:rPr>
        <w:t xml:space="preserve">внутрішніх документів, </w:t>
      </w:r>
      <w:r w:rsidR="001262C7" w:rsidRPr="00D30137">
        <w:rPr>
          <w:color w:val="000000" w:themeColor="text1"/>
          <w:lang w:eastAsia="ru-RU"/>
        </w:rPr>
        <w:t>створенн</w:t>
      </w:r>
      <w:r w:rsidR="001262C7">
        <w:rPr>
          <w:color w:val="000000" w:themeColor="text1"/>
          <w:lang w:eastAsia="ru-RU"/>
        </w:rPr>
        <w:t>я</w:t>
      </w:r>
      <w:r w:rsidR="001262C7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нових штатних одиниць або окремих підрозділів (за потреби), </w:t>
      </w:r>
      <w:r w:rsidR="001262C7">
        <w:rPr>
          <w:color w:val="000000" w:themeColor="text1"/>
          <w:lang w:eastAsia="ru-RU"/>
        </w:rPr>
        <w:t>у</w:t>
      </w:r>
      <w:r w:rsidR="008E0F2F" w:rsidRPr="00D30137">
        <w:rPr>
          <w:color w:val="000000" w:themeColor="text1"/>
          <w:lang w:eastAsia="ru-RU"/>
        </w:rPr>
        <w:t>досконаленн</w:t>
      </w:r>
      <w:r w:rsidR="008E0F2F">
        <w:rPr>
          <w:color w:val="000000" w:themeColor="text1"/>
          <w:lang w:eastAsia="ru-RU"/>
        </w:rPr>
        <w:t>я</w:t>
      </w:r>
      <w:r w:rsidR="008E0F2F"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ru-RU"/>
        </w:rPr>
        <w:t xml:space="preserve">інформаційних </w:t>
      </w:r>
      <w:r w:rsidR="007B4B0B" w:rsidRPr="00D30137">
        <w:rPr>
          <w:color w:val="000000" w:themeColor="text1"/>
          <w:lang w:eastAsia="ru-RU"/>
        </w:rPr>
        <w:t xml:space="preserve">технологій з метою приведення своєї діяльності </w:t>
      </w:r>
      <w:r w:rsidR="0008356B" w:rsidRPr="00D30137">
        <w:rPr>
          <w:color w:val="000000" w:themeColor="text1"/>
          <w:lang w:eastAsia="ru-RU"/>
        </w:rPr>
        <w:t>у</w:t>
      </w:r>
      <w:r w:rsidR="0008356B">
        <w:rPr>
          <w:color w:val="000000" w:themeColor="text1"/>
          <w:lang w:eastAsia="ru-RU"/>
        </w:rPr>
        <w:t> </w:t>
      </w:r>
      <w:r w:rsidR="007B4B0B" w:rsidRPr="00D30137">
        <w:rPr>
          <w:color w:val="000000" w:themeColor="text1"/>
          <w:lang w:eastAsia="ru-RU"/>
        </w:rPr>
        <w:t xml:space="preserve">відповідність до вимог </w:t>
      </w:r>
      <w:proofErr w:type="spellStart"/>
      <w:r w:rsidR="007B4B0B" w:rsidRPr="00D30137">
        <w:rPr>
          <w:color w:val="000000" w:themeColor="text1"/>
          <w:lang w:eastAsia="ru-RU"/>
        </w:rPr>
        <w:t>проєкту</w:t>
      </w:r>
      <w:proofErr w:type="spellEnd"/>
      <w:r w:rsidR="007B4B0B" w:rsidRPr="00D30137">
        <w:rPr>
          <w:color w:val="000000" w:themeColor="text1"/>
          <w:lang w:eastAsia="ru-RU"/>
        </w:rPr>
        <w:t xml:space="preserve"> постанови</w:t>
      </w:r>
      <w:r w:rsidR="001262C7">
        <w:rPr>
          <w:color w:val="000000" w:themeColor="text1"/>
          <w:lang w:eastAsia="ru-RU"/>
        </w:rPr>
        <w:t>;</w:t>
      </w:r>
      <w:r w:rsidR="007B4B0B" w:rsidRPr="00D30137">
        <w:rPr>
          <w:color w:val="000000" w:themeColor="text1"/>
          <w:lang w:eastAsia="ru-RU"/>
        </w:rPr>
        <w:t xml:space="preserve"> </w:t>
      </w:r>
    </w:p>
    <w:p w14:paraId="1BF2EEB2" w14:textId="77777777" w:rsidR="00672E4B" w:rsidRPr="00D30137" w:rsidRDefault="0006658D" w:rsidP="00672E4B">
      <w:pPr>
        <w:ind w:firstLine="686"/>
        <w:rPr>
          <w:color w:val="000000" w:themeColor="text1"/>
          <w:lang w:eastAsia="ru-RU"/>
        </w:rPr>
      </w:pPr>
      <w:bookmarkStart w:id="6" w:name="o36"/>
      <w:bookmarkEnd w:id="6"/>
      <w:r w:rsidRPr="00D30137">
        <w:rPr>
          <w:color w:val="000000" w:themeColor="text1"/>
          <w:lang w:eastAsia="ru-RU"/>
        </w:rPr>
        <w:t>3</w:t>
      </w:r>
      <w:r w:rsidR="00672E4B" w:rsidRPr="00D30137">
        <w:rPr>
          <w:color w:val="000000" w:themeColor="text1"/>
          <w:lang w:eastAsia="ru-RU"/>
        </w:rPr>
        <w:t xml:space="preserve">) кількість учасників ринку небанківських фінансових послуг, що порушили вимоги </w:t>
      </w:r>
      <w:proofErr w:type="spellStart"/>
      <w:r w:rsidR="00CC5C81">
        <w:rPr>
          <w:color w:val="000000" w:themeColor="text1"/>
          <w:lang w:eastAsia="ru-RU"/>
        </w:rPr>
        <w:t>проєкту</w:t>
      </w:r>
      <w:proofErr w:type="spellEnd"/>
      <w:r w:rsidR="00CC5C81">
        <w:rPr>
          <w:color w:val="000000" w:themeColor="text1"/>
          <w:lang w:eastAsia="ru-RU"/>
        </w:rPr>
        <w:t xml:space="preserve"> </w:t>
      </w:r>
      <w:r w:rsidR="00672E4B" w:rsidRPr="00D30137">
        <w:rPr>
          <w:color w:val="000000" w:themeColor="text1"/>
          <w:lang w:eastAsia="ru-RU"/>
        </w:rPr>
        <w:t>постанови;</w:t>
      </w:r>
    </w:p>
    <w:p w14:paraId="51BBF143" w14:textId="77777777" w:rsidR="00672E4B" w:rsidRPr="00D30137" w:rsidRDefault="000B2E7E" w:rsidP="00672E4B">
      <w:pPr>
        <w:ind w:firstLine="68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4</w:t>
      </w:r>
      <w:r w:rsidR="00672E4B" w:rsidRPr="00D30137">
        <w:rPr>
          <w:color w:val="000000" w:themeColor="text1"/>
          <w:lang w:eastAsia="ru-RU"/>
        </w:rPr>
        <w:t xml:space="preserve">) </w:t>
      </w:r>
      <w:bookmarkStart w:id="7" w:name="_Hlk77928847"/>
      <w:r w:rsidR="00672E4B" w:rsidRPr="00D30137">
        <w:rPr>
          <w:color w:val="000000" w:themeColor="text1"/>
          <w:lang w:eastAsia="ru-RU"/>
        </w:rPr>
        <w:t xml:space="preserve">кількість отриманих Національним банком від учасників ринку небанківських фінансових послуг запитів та пропозицій щодо </w:t>
      </w:r>
      <w:r w:rsidR="0006658D" w:rsidRPr="00D30137">
        <w:rPr>
          <w:color w:val="000000" w:themeColor="text1"/>
          <w:lang w:eastAsia="ru-RU"/>
        </w:rPr>
        <w:t xml:space="preserve">вдосконалення </w:t>
      </w:r>
      <w:r w:rsidR="00672E4B" w:rsidRPr="00D30137">
        <w:rPr>
          <w:color w:val="000000" w:themeColor="text1"/>
          <w:lang w:eastAsia="ru-RU"/>
        </w:rPr>
        <w:t xml:space="preserve">змісту </w:t>
      </w:r>
      <w:proofErr w:type="spellStart"/>
      <w:r w:rsidR="00672E4B" w:rsidRPr="00D30137">
        <w:rPr>
          <w:color w:val="000000" w:themeColor="text1"/>
          <w:lang w:eastAsia="ru-RU"/>
        </w:rPr>
        <w:t>проєкту</w:t>
      </w:r>
      <w:proofErr w:type="spellEnd"/>
      <w:r w:rsidR="00672E4B" w:rsidRPr="00D30137">
        <w:rPr>
          <w:color w:val="000000" w:themeColor="text1"/>
          <w:lang w:eastAsia="ru-RU"/>
        </w:rPr>
        <w:t xml:space="preserve"> </w:t>
      </w:r>
      <w:r w:rsidR="00CF615E" w:rsidRPr="00D30137">
        <w:rPr>
          <w:color w:val="000000" w:themeColor="text1"/>
          <w:lang w:eastAsia="ru-RU"/>
        </w:rPr>
        <w:t xml:space="preserve"> </w:t>
      </w:r>
      <w:r w:rsidR="00672E4B" w:rsidRPr="00D30137">
        <w:rPr>
          <w:color w:val="000000" w:themeColor="text1"/>
          <w:lang w:eastAsia="ru-RU"/>
        </w:rPr>
        <w:t>постанови та її реалізації.</w:t>
      </w:r>
      <w:bookmarkEnd w:id="7"/>
    </w:p>
    <w:p w14:paraId="322385EF" w14:textId="77777777" w:rsidR="00672E4B" w:rsidRPr="00D30137" w:rsidRDefault="00672E4B" w:rsidP="00672E4B">
      <w:pPr>
        <w:ind w:firstLine="686"/>
        <w:rPr>
          <w:color w:val="000000" w:themeColor="text1"/>
          <w:lang w:eastAsia="ru-RU"/>
        </w:rPr>
      </w:pPr>
      <w:r w:rsidRPr="00D30137">
        <w:rPr>
          <w:color w:val="000000" w:themeColor="text1"/>
        </w:rPr>
        <w:t>Водночас</w:t>
      </w:r>
      <w:r w:rsidR="00436B2C">
        <w:rPr>
          <w:color w:val="000000" w:themeColor="text1"/>
        </w:rPr>
        <w:t>,</w:t>
      </w:r>
      <w:r w:rsidRPr="00D30137">
        <w:rPr>
          <w:color w:val="000000" w:themeColor="text1"/>
        </w:rPr>
        <w:t xml:space="preserve"> ураховуючи специфіку запропонованого </w:t>
      </w:r>
      <w:proofErr w:type="spellStart"/>
      <w:r w:rsidRPr="00D30137">
        <w:rPr>
          <w:color w:val="000000" w:themeColor="text1"/>
        </w:rPr>
        <w:t>проєкту</w:t>
      </w:r>
      <w:proofErr w:type="spellEnd"/>
      <w:r w:rsidRPr="00D30137">
        <w:rPr>
          <w:color w:val="000000" w:themeColor="text1"/>
        </w:rPr>
        <w:t xml:space="preserve"> постанови, надати кількісну форму всіх прогнозних значень показників результативності регуляторного </w:t>
      </w:r>
      <w:proofErr w:type="spellStart"/>
      <w:r w:rsidRPr="00D30137">
        <w:rPr>
          <w:color w:val="000000" w:themeColor="text1"/>
        </w:rPr>
        <w:t>акта</w:t>
      </w:r>
      <w:proofErr w:type="spellEnd"/>
      <w:r w:rsidRPr="00D30137">
        <w:rPr>
          <w:color w:val="000000" w:themeColor="text1"/>
        </w:rPr>
        <w:t xml:space="preserve"> </w:t>
      </w:r>
      <w:r w:rsidR="00436B2C">
        <w:rPr>
          <w:color w:val="000000" w:themeColor="text1"/>
        </w:rPr>
        <w:t>немає змоги</w:t>
      </w:r>
      <w:r w:rsidRPr="00D30137">
        <w:rPr>
          <w:color w:val="000000" w:themeColor="text1"/>
        </w:rPr>
        <w:t>.</w:t>
      </w:r>
    </w:p>
    <w:p w14:paraId="17D5FF90" w14:textId="77777777" w:rsidR="00672E4B" w:rsidRPr="00D30137" w:rsidRDefault="00672E4B" w:rsidP="00672E4B">
      <w:pPr>
        <w:ind w:firstLine="686"/>
        <w:rPr>
          <w:color w:val="000000" w:themeColor="text1"/>
          <w:lang w:eastAsia="ru-RU"/>
        </w:rPr>
      </w:pPr>
    </w:p>
    <w:p w14:paraId="07B9F3B5" w14:textId="77777777" w:rsidR="00672E4B" w:rsidRPr="00D30137" w:rsidRDefault="00672E4B" w:rsidP="00672E4B">
      <w:pPr>
        <w:ind w:firstLine="686"/>
        <w:rPr>
          <w:b/>
          <w:color w:val="000000" w:themeColor="text1"/>
          <w:lang w:eastAsia="zh-CN"/>
        </w:rPr>
      </w:pPr>
      <w:bookmarkStart w:id="8" w:name="o63"/>
      <w:bookmarkEnd w:id="8"/>
      <w:r w:rsidRPr="00D30137">
        <w:rPr>
          <w:b/>
          <w:color w:val="000000" w:themeColor="text1"/>
          <w:lang w:eastAsia="zh-CN"/>
        </w:rPr>
        <w:t xml:space="preserve">VIII. Визначення заходів, з допомогою яких буде здійснюватися відстеження результативності </w:t>
      </w:r>
      <w:proofErr w:type="spellStart"/>
      <w:r w:rsidRPr="00D30137">
        <w:rPr>
          <w:b/>
          <w:color w:val="000000" w:themeColor="text1"/>
          <w:lang w:eastAsia="zh-CN"/>
        </w:rPr>
        <w:t>акта</w:t>
      </w:r>
      <w:proofErr w:type="spellEnd"/>
      <w:r w:rsidRPr="00D30137">
        <w:rPr>
          <w:b/>
          <w:color w:val="000000" w:themeColor="text1"/>
          <w:lang w:eastAsia="zh-CN"/>
        </w:rPr>
        <w:t xml:space="preserve"> </w:t>
      </w:r>
    </w:p>
    <w:p w14:paraId="03C729AB" w14:textId="77777777" w:rsidR="00672E4B" w:rsidRPr="00D30137" w:rsidRDefault="00672E4B" w:rsidP="00672E4B">
      <w:pPr>
        <w:ind w:firstLine="686"/>
        <w:rPr>
          <w:color w:val="000000" w:themeColor="text1"/>
          <w:lang w:eastAsia="zh-CN"/>
        </w:rPr>
      </w:pPr>
      <w:r w:rsidRPr="00D30137">
        <w:rPr>
          <w:color w:val="000000" w:themeColor="text1"/>
          <w:lang w:eastAsia="zh-CN"/>
        </w:rPr>
        <w:t xml:space="preserve"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 xml:space="preserve"> Національного банку України, затвердженої постановою Кабінету Міністрів України і Національного банку України від 14.04.2004  № 471.</w:t>
      </w:r>
    </w:p>
    <w:p w14:paraId="0A964078" w14:textId="77777777" w:rsidR="00672E4B" w:rsidRPr="00D30137" w:rsidRDefault="00672E4B" w:rsidP="00672E4B">
      <w:pPr>
        <w:ind w:firstLine="686"/>
        <w:rPr>
          <w:color w:val="000000" w:themeColor="text1"/>
          <w:lang w:eastAsia="zh-CN"/>
        </w:rPr>
      </w:pPr>
      <w:bookmarkStart w:id="9" w:name="_Hlk528784927"/>
      <w:r w:rsidRPr="00D30137">
        <w:rPr>
          <w:color w:val="000000" w:themeColor="text1"/>
          <w:lang w:eastAsia="zh-CN"/>
        </w:rPr>
        <w:t xml:space="preserve">Відстеження результативності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 xml:space="preserve">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>.</w:t>
      </w:r>
    </w:p>
    <w:bookmarkEnd w:id="9"/>
    <w:p w14:paraId="4133E9AD" w14:textId="77777777" w:rsidR="00672E4B" w:rsidRPr="00D30137" w:rsidRDefault="00672E4B" w:rsidP="00672E4B">
      <w:pPr>
        <w:ind w:firstLine="686"/>
        <w:rPr>
          <w:color w:val="000000" w:themeColor="text1"/>
          <w:lang w:eastAsia="zh-CN"/>
        </w:rPr>
      </w:pPr>
      <w:r w:rsidRPr="00D30137">
        <w:rPr>
          <w:color w:val="000000" w:themeColor="text1"/>
          <w:lang w:eastAsia="zh-CN"/>
        </w:rPr>
        <w:t xml:space="preserve">Базове відстеження результативності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 xml:space="preserve"> здійснюватиметься протягом року з дня набрання чинності цим актом.</w:t>
      </w:r>
    </w:p>
    <w:p w14:paraId="7F986085" w14:textId="77777777" w:rsidR="00672E4B" w:rsidRPr="00D30137" w:rsidRDefault="00672E4B" w:rsidP="00672E4B">
      <w:pPr>
        <w:ind w:firstLine="686"/>
        <w:rPr>
          <w:color w:val="000000" w:themeColor="text1"/>
          <w:lang w:eastAsia="zh-CN"/>
        </w:rPr>
      </w:pPr>
      <w:bookmarkStart w:id="10" w:name="_Hlk77929117"/>
      <w:r w:rsidRPr="00D30137">
        <w:rPr>
          <w:color w:val="000000" w:themeColor="text1"/>
          <w:lang w:eastAsia="zh-CN"/>
        </w:rPr>
        <w:lastRenderedPageBreak/>
        <w:t xml:space="preserve">Повторне відстеження результативності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 xml:space="preserve"> проводитиметься не пізніше двох років із дня набрання чинності регуляторним актом.</w:t>
      </w:r>
    </w:p>
    <w:p w14:paraId="13BBC3E2" w14:textId="77777777" w:rsidR="00672E4B" w:rsidRPr="00D30137" w:rsidRDefault="00672E4B" w:rsidP="00672E4B">
      <w:pPr>
        <w:ind w:firstLine="686"/>
        <w:rPr>
          <w:color w:val="000000" w:themeColor="text1"/>
          <w:lang w:eastAsia="zh-CN"/>
        </w:rPr>
      </w:pPr>
      <w:r w:rsidRPr="00D30137">
        <w:rPr>
          <w:color w:val="000000" w:themeColor="text1"/>
          <w:lang w:eastAsia="zh-CN"/>
        </w:rPr>
        <w:t xml:space="preserve">Періодичне відстеження результативності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 xml:space="preserve"> здійснюватиметься один раз на кожні три роки починаючи з дня закінчення заходів </w:t>
      </w:r>
      <w:r w:rsidR="0008356B">
        <w:rPr>
          <w:color w:val="000000" w:themeColor="text1"/>
          <w:lang w:eastAsia="zh-CN"/>
        </w:rPr>
        <w:t>і</w:t>
      </w:r>
      <w:r w:rsidRPr="00D30137">
        <w:rPr>
          <w:color w:val="000000" w:themeColor="text1"/>
          <w:lang w:eastAsia="zh-CN"/>
        </w:rPr>
        <w:t xml:space="preserve">з повторного відстеження результативності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>.</w:t>
      </w:r>
    </w:p>
    <w:p w14:paraId="2556686E" w14:textId="77777777" w:rsidR="00672E4B" w:rsidRPr="00D30137" w:rsidRDefault="00672E4B" w:rsidP="00672E4B">
      <w:pPr>
        <w:ind w:firstLine="709"/>
        <w:rPr>
          <w:color w:val="000000" w:themeColor="text1"/>
        </w:rPr>
      </w:pPr>
      <w:r w:rsidRPr="00D30137">
        <w:rPr>
          <w:color w:val="000000" w:themeColor="text1"/>
          <w:lang w:eastAsia="zh-CN"/>
        </w:rPr>
        <w:t xml:space="preserve">Інформування </w:t>
      </w:r>
      <w:r w:rsidRPr="00D30137">
        <w:rPr>
          <w:color w:val="000000" w:themeColor="text1"/>
          <w:lang w:eastAsia="ru-RU"/>
        </w:rPr>
        <w:t>учасників ринку небанківських фінансових</w:t>
      </w:r>
      <w:r w:rsidR="003F7847" w:rsidRPr="00D97BC9">
        <w:rPr>
          <w:color w:val="000000" w:themeColor="text1"/>
          <w:lang w:val="ru-RU" w:eastAsia="ru-RU"/>
        </w:rPr>
        <w:t xml:space="preserve"> </w:t>
      </w:r>
      <w:proofErr w:type="spellStart"/>
      <w:r w:rsidR="00D97BC9">
        <w:rPr>
          <w:color w:val="000000" w:themeColor="text1"/>
          <w:lang w:val="ru-RU" w:eastAsia="ru-RU"/>
        </w:rPr>
        <w:t>послуг</w:t>
      </w:r>
      <w:proofErr w:type="spellEnd"/>
      <w:r w:rsidRPr="00D30137">
        <w:rPr>
          <w:color w:val="000000" w:themeColor="text1"/>
          <w:lang w:eastAsia="ru-RU"/>
        </w:rPr>
        <w:t xml:space="preserve"> </w:t>
      </w:r>
      <w:r w:rsidRPr="00D30137">
        <w:rPr>
          <w:color w:val="000000" w:themeColor="text1"/>
          <w:lang w:eastAsia="zh-CN"/>
        </w:rPr>
        <w:t xml:space="preserve">щодо основних положень регуляторного </w:t>
      </w:r>
      <w:proofErr w:type="spellStart"/>
      <w:r w:rsidRPr="00D30137">
        <w:rPr>
          <w:color w:val="000000" w:themeColor="text1"/>
          <w:lang w:eastAsia="zh-CN"/>
        </w:rPr>
        <w:t>акта</w:t>
      </w:r>
      <w:proofErr w:type="spellEnd"/>
      <w:r w:rsidRPr="00D30137">
        <w:rPr>
          <w:color w:val="000000" w:themeColor="text1"/>
          <w:lang w:eastAsia="zh-CN"/>
        </w:rPr>
        <w:t xml:space="preserve"> здійснюватиметься шляхом його оприлюднення на сторінці офіційного Інтернет-представництва Національного банку.</w:t>
      </w:r>
    </w:p>
    <w:bookmarkEnd w:id="10"/>
    <w:p w14:paraId="7EF107B1" w14:textId="77777777" w:rsidR="00672E4B" w:rsidRPr="00B16747" w:rsidRDefault="00672E4B" w:rsidP="00672E4B">
      <w:pPr>
        <w:spacing w:before="240" w:after="240"/>
        <w:ind w:firstLine="709"/>
        <w:rPr>
          <w:color w:val="000000" w:themeColor="text1"/>
          <w:lang w:val="ru-RU"/>
        </w:rPr>
      </w:pPr>
    </w:p>
    <w:p w14:paraId="7FC1194B" w14:textId="77777777" w:rsidR="00672E4B" w:rsidRPr="00D30137" w:rsidRDefault="00672E4B" w:rsidP="00672E4B">
      <w:pPr>
        <w:spacing w:before="240" w:after="240"/>
        <w:ind w:firstLine="709"/>
        <w:rPr>
          <w:color w:val="000000" w:themeColor="text1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25"/>
      </w:tblGrid>
      <w:tr w:rsidR="00672E4B" w:rsidRPr="00D30137" w14:paraId="693C39F7" w14:textId="77777777" w:rsidTr="00602F5C">
        <w:trPr>
          <w:trHeight w:val="68"/>
        </w:trPr>
        <w:tc>
          <w:tcPr>
            <w:tcW w:w="5529" w:type="dxa"/>
            <w:vAlign w:val="bottom"/>
          </w:tcPr>
          <w:p w14:paraId="2DF44629" w14:textId="77777777" w:rsidR="00672E4B" w:rsidRPr="00D30137" w:rsidRDefault="00A82F59" w:rsidP="00602F5C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color w:val="000000" w:themeColor="text1"/>
                <w:highlight w:val="yellow"/>
              </w:rPr>
            </w:pPr>
            <w:r>
              <w:rPr>
                <w:rFonts w:eastAsia="SimSun"/>
                <w:color w:val="000000" w:themeColor="text1"/>
              </w:rPr>
              <w:t>В.</w:t>
            </w:r>
            <w:r w:rsidR="009E57C3">
              <w:rPr>
                <w:rFonts w:eastAsia="SimSun"/>
                <w:color w:val="000000" w:themeColor="text1"/>
              </w:rPr>
              <w:t> </w:t>
            </w:r>
            <w:r>
              <w:rPr>
                <w:rFonts w:eastAsia="SimSun"/>
                <w:color w:val="000000" w:themeColor="text1"/>
              </w:rPr>
              <w:t>о. Г</w:t>
            </w:r>
            <w:r w:rsidR="00672E4B" w:rsidRPr="00D30137">
              <w:rPr>
                <w:rFonts w:eastAsia="SimSun"/>
                <w:color w:val="000000" w:themeColor="text1"/>
              </w:rPr>
              <w:t>олов</w:t>
            </w:r>
            <w:r>
              <w:rPr>
                <w:rFonts w:eastAsia="SimSun"/>
                <w:color w:val="000000" w:themeColor="text1"/>
              </w:rPr>
              <w:t>и</w:t>
            </w:r>
            <w:r w:rsidR="00672E4B" w:rsidRPr="00D30137">
              <w:rPr>
                <w:rFonts w:eastAsia="SimSun"/>
                <w:color w:val="000000" w:themeColor="text1"/>
              </w:rPr>
              <w:t xml:space="preserve"> </w:t>
            </w:r>
          </w:p>
        </w:tc>
        <w:tc>
          <w:tcPr>
            <w:tcW w:w="4325" w:type="dxa"/>
            <w:vAlign w:val="bottom"/>
          </w:tcPr>
          <w:p w14:paraId="0F346CBD" w14:textId="77777777" w:rsidR="00672E4B" w:rsidRPr="00D30137" w:rsidRDefault="00A82F59" w:rsidP="00602F5C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Юрій</w:t>
            </w:r>
            <w:r w:rsidR="00672E4B" w:rsidRPr="00D301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ГЕЛЕТІЙ</w:t>
            </w:r>
          </w:p>
        </w:tc>
      </w:tr>
    </w:tbl>
    <w:p w14:paraId="4688B87C" w14:textId="77777777" w:rsidR="00672E4B" w:rsidRPr="00D30137" w:rsidRDefault="00672E4B" w:rsidP="00672E4B">
      <w:pPr>
        <w:rPr>
          <w:color w:val="000000" w:themeColor="text1"/>
        </w:rPr>
      </w:pPr>
    </w:p>
    <w:p w14:paraId="061A3B47" w14:textId="77777777" w:rsidR="00285341" w:rsidRPr="00D30137" w:rsidRDefault="00285341">
      <w:pPr>
        <w:rPr>
          <w:color w:val="000000" w:themeColor="text1"/>
        </w:rPr>
      </w:pPr>
    </w:p>
    <w:sectPr w:rsidR="00285341" w:rsidRPr="00D30137" w:rsidSect="005F5F5F">
      <w:headerReference w:type="default" r:id="rId9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B0DF" w14:textId="77777777" w:rsidR="00CC230F" w:rsidRDefault="00CC230F">
      <w:r>
        <w:separator/>
      </w:r>
    </w:p>
  </w:endnote>
  <w:endnote w:type="continuationSeparator" w:id="0">
    <w:p w14:paraId="2FF6EEE4" w14:textId="77777777" w:rsidR="00CC230F" w:rsidRDefault="00CC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8E09" w14:textId="77777777" w:rsidR="00CC230F" w:rsidRDefault="00CC230F">
      <w:r>
        <w:separator/>
      </w:r>
    </w:p>
  </w:footnote>
  <w:footnote w:type="continuationSeparator" w:id="0">
    <w:p w14:paraId="717BAB72" w14:textId="77777777" w:rsidR="00CC230F" w:rsidRDefault="00CC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2713"/>
      <w:docPartObj>
        <w:docPartGallery w:val="Page Numbers (Top of Page)"/>
        <w:docPartUnique/>
      </w:docPartObj>
    </w:sdtPr>
    <w:sdtEndPr/>
    <w:sdtContent>
      <w:p w14:paraId="04D61493" w14:textId="77777777" w:rsidR="00A2062C" w:rsidRDefault="007B4B0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6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DFEC86" w14:textId="77777777" w:rsidR="00A2062C" w:rsidRDefault="00CC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EF5"/>
    <w:multiLevelType w:val="hybridMultilevel"/>
    <w:tmpl w:val="70FCE4FA"/>
    <w:lvl w:ilvl="0" w:tplc="04220011">
      <w:start w:val="1"/>
      <w:numFmt w:val="decimal"/>
      <w:lvlText w:val="%1)"/>
      <w:lvlJc w:val="left"/>
      <w:pPr>
        <w:ind w:left="1406" w:hanging="360"/>
      </w:pPr>
    </w:lvl>
    <w:lvl w:ilvl="1" w:tplc="04220019" w:tentative="1">
      <w:start w:val="1"/>
      <w:numFmt w:val="lowerLetter"/>
      <w:lvlText w:val="%2."/>
      <w:lvlJc w:val="left"/>
      <w:pPr>
        <w:ind w:left="2126" w:hanging="360"/>
      </w:pPr>
    </w:lvl>
    <w:lvl w:ilvl="2" w:tplc="0422001B" w:tentative="1">
      <w:start w:val="1"/>
      <w:numFmt w:val="lowerRoman"/>
      <w:lvlText w:val="%3."/>
      <w:lvlJc w:val="right"/>
      <w:pPr>
        <w:ind w:left="2846" w:hanging="180"/>
      </w:pPr>
    </w:lvl>
    <w:lvl w:ilvl="3" w:tplc="0422000F" w:tentative="1">
      <w:start w:val="1"/>
      <w:numFmt w:val="decimal"/>
      <w:lvlText w:val="%4."/>
      <w:lvlJc w:val="left"/>
      <w:pPr>
        <w:ind w:left="3566" w:hanging="360"/>
      </w:pPr>
    </w:lvl>
    <w:lvl w:ilvl="4" w:tplc="04220019" w:tentative="1">
      <w:start w:val="1"/>
      <w:numFmt w:val="lowerLetter"/>
      <w:lvlText w:val="%5."/>
      <w:lvlJc w:val="left"/>
      <w:pPr>
        <w:ind w:left="4286" w:hanging="360"/>
      </w:pPr>
    </w:lvl>
    <w:lvl w:ilvl="5" w:tplc="0422001B" w:tentative="1">
      <w:start w:val="1"/>
      <w:numFmt w:val="lowerRoman"/>
      <w:lvlText w:val="%6."/>
      <w:lvlJc w:val="right"/>
      <w:pPr>
        <w:ind w:left="5006" w:hanging="180"/>
      </w:pPr>
    </w:lvl>
    <w:lvl w:ilvl="6" w:tplc="0422000F" w:tentative="1">
      <w:start w:val="1"/>
      <w:numFmt w:val="decimal"/>
      <w:lvlText w:val="%7."/>
      <w:lvlJc w:val="left"/>
      <w:pPr>
        <w:ind w:left="5726" w:hanging="360"/>
      </w:pPr>
    </w:lvl>
    <w:lvl w:ilvl="7" w:tplc="04220019" w:tentative="1">
      <w:start w:val="1"/>
      <w:numFmt w:val="lowerLetter"/>
      <w:lvlText w:val="%8."/>
      <w:lvlJc w:val="left"/>
      <w:pPr>
        <w:ind w:left="6446" w:hanging="360"/>
      </w:pPr>
    </w:lvl>
    <w:lvl w:ilvl="8" w:tplc="0422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" w15:restartNumberingAfterBreak="0">
    <w:nsid w:val="0509662B"/>
    <w:multiLevelType w:val="hybridMultilevel"/>
    <w:tmpl w:val="9B12A552"/>
    <w:lvl w:ilvl="0" w:tplc="04220011">
      <w:start w:val="1"/>
      <w:numFmt w:val="decimal"/>
      <w:lvlText w:val="%1)"/>
      <w:lvlJc w:val="left"/>
      <w:pPr>
        <w:ind w:left="1406" w:hanging="360"/>
      </w:pPr>
    </w:lvl>
    <w:lvl w:ilvl="1" w:tplc="04220019" w:tentative="1">
      <w:start w:val="1"/>
      <w:numFmt w:val="lowerLetter"/>
      <w:lvlText w:val="%2."/>
      <w:lvlJc w:val="left"/>
      <w:pPr>
        <w:ind w:left="2126" w:hanging="360"/>
      </w:pPr>
    </w:lvl>
    <w:lvl w:ilvl="2" w:tplc="0422001B" w:tentative="1">
      <w:start w:val="1"/>
      <w:numFmt w:val="lowerRoman"/>
      <w:lvlText w:val="%3."/>
      <w:lvlJc w:val="right"/>
      <w:pPr>
        <w:ind w:left="2846" w:hanging="180"/>
      </w:pPr>
    </w:lvl>
    <w:lvl w:ilvl="3" w:tplc="0422000F" w:tentative="1">
      <w:start w:val="1"/>
      <w:numFmt w:val="decimal"/>
      <w:lvlText w:val="%4."/>
      <w:lvlJc w:val="left"/>
      <w:pPr>
        <w:ind w:left="3566" w:hanging="360"/>
      </w:pPr>
    </w:lvl>
    <w:lvl w:ilvl="4" w:tplc="04220019" w:tentative="1">
      <w:start w:val="1"/>
      <w:numFmt w:val="lowerLetter"/>
      <w:lvlText w:val="%5."/>
      <w:lvlJc w:val="left"/>
      <w:pPr>
        <w:ind w:left="4286" w:hanging="360"/>
      </w:pPr>
    </w:lvl>
    <w:lvl w:ilvl="5" w:tplc="0422001B" w:tentative="1">
      <w:start w:val="1"/>
      <w:numFmt w:val="lowerRoman"/>
      <w:lvlText w:val="%6."/>
      <w:lvlJc w:val="right"/>
      <w:pPr>
        <w:ind w:left="5006" w:hanging="180"/>
      </w:pPr>
    </w:lvl>
    <w:lvl w:ilvl="6" w:tplc="0422000F" w:tentative="1">
      <w:start w:val="1"/>
      <w:numFmt w:val="decimal"/>
      <w:lvlText w:val="%7."/>
      <w:lvlJc w:val="left"/>
      <w:pPr>
        <w:ind w:left="5726" w:hanging="360"/>
      </w:pPr>
    </w:lvl>
    <w:lvl w:ilvl="7" w:tplc="04220019" w:tentative="1">
      <w:start w:val="1"/>
      <w:numFmt w:val="lowerLetter"/>
      <w:lvlText w:val="%8."/>
      <w:lvlJc w:val="left"/>
      <w:pPr>
        <w:ind w:left="6446" w:hanging="360"/>
      </w:pPr>
    </w:lvl>
    <w:lvl w:ilvl="8" w:tplc="0422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" w15:restartNumberingAfterBreak="0">
    <w:nsid w:val="5B870B66"/>
    <w:multiLevelType w:val="hybridMultilevel"/>
    <w:tmpl w:val="D3723BC8"/>
    <w:lvl w:ilvl="0" w:tplc="C464A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AB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2B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A6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01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6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A5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04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65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7539277">
    <w:abstractNumId w:val="2"/>
  </w:num>
  <w:num w:numId="2" w16cid:durableId="888537372">
    <w:abstractNumId w:val="1"/>
  </w:num>
  <w:num w:numId="3" w16cid:durableId="113252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4B"/>
    <w:rsid w:val="000129AB"/>
    <w:rsid w:val="000430A4"/>
    <w:rsid w:val="0006658D"/>
    <w:rsid w:val="00066624"/>
    <w:rsid w:val="0008356B"/>
    <w:rsid w:val="000A7C9D"/>
    <w:rsid w:val="000B2E7E"/>
    <w:rsid w:val="000B5700"/>
    <w:rsid w:val="000C66D9"/>
    <w:rsid w:val="000D3821"/>
    <w:rsid w:val="000F4AC8"/>
    <w:rsid w:val="00103087"/>
    <w:rsid w:val="00120378"/>
    <w:rsid w:val="001262C7"/>
    <w:rsid w:val="00143B16"/>
    <w:rsid w:val="00160A63"/>
    <w:rsid w:val="00195C97"/>
    <w:rsid w:val="001B1CE4"/>
    <w:rsid w:val="001B35E8"/>
    <w:rsid w:val="001C1F91"/>
    <w:rsid w:val="001C5C96"/>
    <w:rsid w:val="001C7639"/>
    <w:rsid w:val="001E61DE"/>
    <w:rsid w:val="001F00C7"/>
    <w:rsid w:val="00236BBB"/>
    <w:rsid w:val="0028366A"/>
    <w:rsid w:val="00285341"/>
    <w:rsid w:val="002E0B32"/>
    <w:rsid w:val="002F5324"/>
    <w:rsid w:val="0030140C"/>
    <w:rsid w:val="003044D2"/>
    <w:rsid w:val="00331E21"/>
    <w:rsid w:val="00356D4D"/>
    <w:rsid w:val="00380892"/>
    <w:rsid w:val="0039438D"/>
    <w:rsid w:val="003B7CDA"/>
    <w:rsid w:val="003E6573"/>
    <w:rsid w:val="003E7C4F"/>
    <w:rsid w:val="003F740E"/>
    <w:rsid w:val="003F7847"/>
    <w:rsid w:val="003F7A70"/>
    <w:rsid w:val="00404C0E"/>
    <w:rsid w:val="00414D92"/>
    <w:rsid w:val="0042084F"/>
    <w:rsid w:val="0042166A"/>
    <w:rsid w:val="00436B2C"/>
    <w:rsid w:val="004463EC"/>
    <w:rsid w:val="00452C0D"/>
    <w:rsid w:val="004822B2"/>
    <w:rsid w:val="004B21C6"/>
    <w:rsid w:val="004B71E4"/>
    <w:rsid w:val="004C18FF"/>
    <w:rsid w:val="0050167F"/>
    <w:rsid w:val="00515739"/>
    <w:rsid w:val="00562C9E"/>
    <w:rsid w:val="00591C9D"/>
    <w:rsid w:val="005D241E"/>
    <w:rsid w:val="005F4AA2"/>
    <w:rsid w:val="00607D37"/>
    <w:rsid w:val="00621D92"/>
    <w:rsid w:val="0066330F"/>
    <w:rsid w:val="00672E4B"/>
    <w:rsid w:val="00681337"/>
    <w:rsid w:val="00682CDC"/>
    <w:rsid w:val="006B1071"/>
    <w:rsid w:val="006C6DBB"/>
    <w:rsid w:val="006C7A26"/>
    <w:rsid w:val="006C7EBE"/>
    <w:rsid w:val="00711E53"/>
    <w:rsid w:val="00722296"/>
    <w:rsid w:val="00740BFE"/>
    <w:rsid w:val="0076697F"/>
    <w:rsid w:val="00777056"/>
    <w:rsid w:val="0077791E"/>
    <w:rsid w:val="007A192E"/>
    <w:rsid w:val="007B4B0B"/>
    <w:rsid w:val="007E5DF0"/>
    <w:rsid w:val="008068D5"/>
    <w:rsid w:val="008336B0"/>
    <w:rsid w:val="00870BAB"/>
    <w:rsid w:val="00872D5B"/>
    <w:rsid w:val="00893145"/>
    <w:rsid w:val="008A41D5"/>
    <w:rsid w:val="008A46FE"/>
    <w:rsid w:val="008C5577"/>
    <w:rsid w:val="008D33D0"/>
    <w:rsid w:val="008D3D0B"/>
    <w:rsid w:val="008E0F2F"/>
    <w:rsid w:val="008E28DF"/>
    <w:rsid w:val="008E6AD7"/>
    <w:rsid w:val="00902426"/>
    <w:rsid w:val="00911FD4"/>
    <w:rsid w:val="00930F44"/>
    <w:rsid w:val="0094475F"/>
    <w:rsid w:val="0096221A"/>
    <w:rsid w:val="0099787B"/>
    <w:rsid w:val="009B765B"/>
    <w:rsid w:val="009D676B"/>
    <w:rsid w:val="009E57C3"/>
    <w:rsid w:val="00A62186"/>
    <w:rsid w:val="00A82F59"/>
    <w:rsid w:val="00AD6AC8"/>
    <w:rsid w:val="00AE3B0A"/>
    <w:rsid w:val="00AE5F20"/>
    <w:rsid w:val="00AF7012"/>
    <w:rsid w:val="00B16747"/>
    <w:rsid w:val="00B1761B"/>
    <w:rsid w:val="00B31606"/>
    <w:rsid w:val="00B65433"/>
    <w:rsid w:val="00B77C25"/>
    <w:rsid w:val="00B808D4"/>
    <w:rsid w:val="00BA4301"/>
    <w:rsid w:val="00BC4C7A"/>
    <w:rsid w:val="00C20BB7"/>
    <w:rsid w:val="00C23F39"/>
    <w:rsid w:val="00C46B67"/>
    <w:rsid w:val="00C47F1C"/>
    <w:rsid w:val="00C66B2C"/>
    <w:rsid w:val="00C7263A"/>
    <w:rsid w:val="00C842FE"/>
    <w:rsid w:val="00C87725"/>
    <w:rsid w:val="00CB2778"/>
    <w:rsid w:val="00CC1B2C"/>
    <w:rsid w:val="00CC230F"/>
    <w:rsid w:val="00CC5C81"/>
    <w:rsid w:val="00CC6366"/>
    <w:rsid w:val="00CD0658"/>
    <w:rsid w:val="00CD4293"/>
    <w:rsid w:val="00CF07BB"/>
    <w:rsid w:val="00CF407E"/>
    <w:rsid w:val="00CF615E"/>
    <w:rsid w:val="00D1726B"/>
    <w:rsid w:val="00D20B5E"/>
    <w:rsid w:val="00D30137"/>
    <w:rsid w:val="00D460B2"/>
    <w:rsid w:val="00D620B9"/>
    <w:rsid w:val="00D90BC7"/>
    <w:rsid w:val="00D97BC9"/>
    <w:rsid w:val="00DB0B98"/>
    <w:rsid w:val="00DC1EB6"/>
    <w:rsid w:val="00DF44B2"/>
    <w:rsid w:val="00E2583F"/>
    <w:rsid w:val="00E267BD"/>
    <w:rsid w:val="00E43037"/>
    <w:rsid w:val="00E54714"/>
    <w:rsid w:val="00E622FC"/>
    <w:rsid w:val="00E824DF"/>
    <w:rsid w:val="00E82C0C"/>
    <w:rsid w:val="00E97A3F"/>
    <w:rsid w:val="00EB2D9C"/>
    <w:rsid w:val="00EE035E"/>
    <w:rsid w:val="00EF0E0D"/>
    <w:rsid w:val="00F03EEB"/>
    <w:rsid w:val="00F1350F"/>
    <w:rsid w:val="00F30447"/>
    <w:rsid w:val="00F33237"/>
    <w:rsid w:val="00F673EC"/>
    <w:rsid w:val="00F90C3B"/>
    <w:rsid w:val="00F931E4"/>
    <w:rsid w:val="00FA6CA6"/>
    <w:rsid w:val="00FD46D5"/>
    <w:rsid w:val="00FF04B3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CDFD"/>
  <w15:chartTrackingRefBased/>
  <w15:docId w15:val="{D9496539-3CC4-47EE-B42B-FAEBA4FF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E4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72E4B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uiPriority w:val="59"/>
    <w:rsid w:val="00672E4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41D5"/>
    <w:pPr>
      <w:ind w:left="720"/>
      <w:contextualSpacing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7F1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7F1C"/>
    <w:rPr>
      <w:rFonts w:ascii="Segoe UI" w:eastAsia="Times New Roman" w:hAnsi="Segoe UI" w:cs="Segoe UI"/>
      <w:sz w:val="18"/>
      <w:szCs w:val="18"/>
      <w:lang w:eastAsia="uk-UA"/>
    </w:rPr>
  </w:style>
  <w:style w:type="character" w:styleId="a9">
    <w:name w:val="annotation reference"/>
    <w:basedOn w:val="a0"/>
    <w:uiPriority w:val="99"/>
    <w:semiHidden/>
    <w:unhideWhenUsed/>
    <w:rsid w:val="003F78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F7847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F784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784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F7847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e">
    <w:name w:val="Hyperlink"/>
    <w:basedOn w:val="a0"/>
    <w:uiPriority w:val="99"/>
    <w:semiHidden/>
    <w:unhideWhenUsed/>
    <w:rsid w:val="00143B16"/>
    <w:rPr>
      <w:color w:val="0000FF"/>
      <w:u w:val="single"/>
    </w:rPr>
  </w:style>
  <w:style w:type="paragraph" w:styleId="af">
    <w:name w:val="Revision"/>
    <w:hidden/>
    <w:uiPriority w:val="99"/>
    <w:semiHidden/>
    <w:rsid w:val="002E0B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7167">
          <w:marLeft w:val="432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586">
          <w:marLeft w:val="432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423">
          <w:marLeft w:val="432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127">
          <w:marLeft w:val="432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64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F179-2D77-44A5-8619-0C2D1A44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1889</Words>
  <Characters>14036</Characters>
  <Application>Microsoft Office Word</Application>
  <DocSecurity>0</DocSecurity>
  <Lines>280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Гужвій</dc:creator>
  <cp:keywords/>
  <dc:description/>
  <cp:lastModifiedBy>Наталія Гужвій</cp:lastModifiedBy>
  <cp:revision>2</cp:revision>
  <cp:lastPrinted>2022-06-21T13:26:00Z</cp:lastPrinted>
  <dcterms:created xsi:type="dcterms:W3CDTF">2022-06-27T09:11:00Z</dcterms:created>
  <dcterms:modified xsi:type="dcterms:W3CDTF">2022-06-27T09:11:00Z</dcterms:modified>
</cp:coreProperties>
</file>